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79EDF" w14:textId="572922B2" w:rsidR="00445AF1" w:rsidRPr="00445AF1" w:rsidRDefault="00445AF1" w:rsidP="00A867F7">
      <w:pPr>
        <w:pStyle w:val="Nagwek2"/>
        <w:rPr>
          <w:rFonts w:asciiTheme="minorHAnsi" w:hAnsiTheme="minorHAnsi"/>
          <w:u w:val="single"/>
        </w:rPr>
      </w:pPr>
      <w:bookmarkStart w:id="0" w:name="_top"/>
      <w:bookmarkEnd w:id="0"/>
      <w:r w:rsidRPr="005B11DB">
        <w:rPr>
          <w:rFonts w:asciiTheme="minorHAnsi" w:hAnsiTheme="minorHAnsi"/>
          <w:u w:val="single"/>
        </w:rPr>
        <w:t xml:space="preserve">Zapytanie ofertowe </w:t>
      </w:r>
    </w:p>
    <w:p w14:paraId="485F694F" w14:textId="575B1E4C" w:rsidR="002C033E" w:rsidRPr="002C033E" w:rsidRDefault="002C033E" w:rsidP="002C033E">
      <w:pPr>
        <w:pStyle w:val="Nagwek2"/>
        <w:spacing w:before="0" w:beforeAutospacing="0" w:after="0" w:afterAutospacing="0"/>
        <w:rPr>
          <w:rFonts w:asciiTheme="minorHAnsi" w:hAnsiTheme="minorHAnsi"/>
          <w:sz w:val="22"/>
          <w:szCs w:val="24"/>
        </w:rPr>
      </w:pPr>
      <w:r w:rsidRPr="002C033E">
        <w:rPr>
          <w:rFonts w:asciiTheme="minorHAnsi" w:hAnsiTheme="minorHAnsi"/>
          <w:sz w:val="22"/>
          <w:szCs w:val="24"/>
        </w:rPr>
        <w:t>Nr projektu:</w:t>
      </w:r>
      <w:r w:rsidR="00401F68" w:rsidRPr="00401F68">
        <w:rPr>
          <w:rFonts w:asciiTheme="minorHAnsi" w:hAnsiTheme="minorHAnsi"/>
          <w:b w:val="0"/>
          <w:bCs w:val="0"/>
          <w:sz w:val="22"/>
          <w:szCs w:val="24"/>
        </w:rPr>
        <w:t xml:space="preserve"> </w:t>
      </w:r>
      <w:r w:rsidR="00886106" w:rsidRPr="00886106">
        <w:rPr>
          <w:rFonts w:asciiTheme="minorHAnsi" w:hAnsiTheme="minorHAnsi"/>
          <w:b w:val="0"/>
          <w:bCs w:val="0"/>
          <w:sz w:val="22"/>
          <w:szCs w:val="24"/>
        </w:rPr>
        <w:t>KPOD.01.13-IW.10-000B/24</w:t>
      </w:r>
    </w:p>
    <w:p w14:paraId="68138C91" w14:textId="57F4B07D" w:rsidR="002C033E" w:rsidRDefault="002C033E" w:rsidP="002C033E">
      <w:pPr>
        <w:pStyle w:val="Nagwek2"/>
        <w:spacing w:before="0" w:beforeAutospacing="0" w:after="0" w:afterAutospacing="0"/>
        <w:rPr>
          <w:rFonts w:asciiTheme="minorHAnsi" w:hAnsiTheme="minorHAnsi"/>
          <w:sz w:val="22"/>
          <w:szCs w:val="24"/>
        </w:rPr>
      </w:pPr>
      <w:r w:rsidRPr="002C033E">
        <w:rPr>
          <w:rFonts w:asciiTheme="minorHAnsi" w:hAnsiTheme="minorHAnsi"/>
          <w:sz w:val="22"/>
          <w:szCs w:val="24"/>
        </w:rPr>
        <w:t>Tytuł projektu:</w:t>
      </w:r>
      <w:r w:rsidR="00401F68" w:rsidRPr="00401F68">
        <w:rPr>
          <w:rFonts w:asciiTheme="minorHAnsi" w:hAnsiTheme="minorHAnsi"/>
          <w:b w:val="0"/>
          <w:bCs w:val="0"/>
          <w:sz w:val="22"/>
          <w:szCs w:val="24"/>
        </w:rPr>
        <w:t xml:space="preserve"> </w:t>
      </w:r>
      <w:r w:rsidR="00886106" w:rsidRPr="00886106">
        <w:rPr>
          <w:rFonts w:asciiTheme="minorHAnsi" w:hAnsiTheme="minorHAnsi"/>
          <w:b w:val="0"/>
          <w:bCs w:val="0"/>
          <w:sz w:val="22"/>
          <w:szCs w:val="24"/>
        </w:rPr>
        <w:t>Opracowanie i wdrożenie innowacyjnego ręcznika papierowego wielokrotnego użytku uszlachetnionego włóknami bawełny</w:t>
      </w:r>
    </w:p>
    <w:p w14:paraId="59D9A654" w14:textId="049AF96C" w:rsidR="00A867F7" w:rsidRPr="00445AF1" w:rsidRDefault="00A867F7" w:rsidP="00A867F7">
      <w:pPr>
        <w:pStyle w:val="Nagwek2"/>
        <w:rPr>
          <w:rFonts w:asciiTheme="minorHAnsi" w:hAnsiTheme="minorHAnsi"/>
          <w:sz w:val="32"/>
        </w:rPr>
      </w:pPr>
      <w:r w:rsidRPr="00445AF1">
        <w:rPr>
          <w:rFonts w:asciiTheme="minorHAnsi" w:hAnsiTheme="minorHAnsi"/>
          <w:sz w:val="32"/>
        </w:rPr>
        <w:t>Zamawiający (beneficjent)</w:t>
      </w:r>
    </w:p>
    <w:p w14:paraId="0DCEC6FA" w14:textId="5E49CFB3" w:rsidR="00EB7B68" w:rsidRPr="00B5708F" w:rsidRDefault="00A867F7" w:rsidP="00051B50">
      <w:pPr>
        <w:spacing w:after="0" w:line="240" w:lineRule="auto"/>
        <w:outlineLvl w:val="1"/>
        <w:rPr>
          <w:bCs/>
        </w:rPr>
      </w:pPr>
      <w:r w:rsidRPr="00B5708F">
        <w:rPr>
          <w:bCs/>
        </w:rPr>
        <w:t>Nazwa zamawiającego</w:t>
      </w:r>
      <w:r w:rsidR="00051B50" w:rsidRPr="00B5708F">
        <w:rPr>
          <w:bCs/>
        </w:rPr>
        <w:t>:</w:t>
      </w:r>
      <w:r w:rsidR="00E06151">
        <w:rPr>
          <w:bCs/>
        </w:rPr>
        <w:t xml:space="preserve"> </w:t>
      </w:r>
      <w:r w:rsidR="00F94EBA" w:rsidRPr="00F94EBA">
        <w:rPr>
          <w:bCs/>
        </w:rPr>
        <w:t>POL-MAK Iława Sp. z o.o.</w:t>
      </w:r>
    </w:p>
    <w:p w14:paraId="771576B5" w14:textId="01A54A31" w:rsidR="007A04B0" w:rsidRPr="00B5708F" w:rsidRDefault="00051B50" w:rsidP="00051B50">
      <w:pPr>
        <w:spacing w:after="0" w:line="240" w:lineRule="auto"/>
        <w:outlineLvl w:val="1"/>
        <w:rPr>
          <w:bCs/>
        </w:rPr>
      </w:pPr>
      <w:r w:rsidRPr="00B5708F">
        <w:rPr>
          <w:bCs/>
        </w:rPr>
        <w:t>NIP:</w:t>
      </w:r>
      <w:r w:rsidR="00E06151">
        <w:rPr>
          <w:bCs/>
        </w:rPr>
        <w:t xml:space="preserve"> </w:t>
      </w:r>
      <w:r w:rsidR="00F94EBA" w:rsidRPr="00F94EBA">
        <w:rPr>
          <w:bCs/>
        </w:rPr>
        <w:t>7812015774</w:t>
      </w:r>
    </w:p>
    <w:p w14:paraId="2054C157" w14:textId="20B2B5B0" w:rsidR="00051B50" w:rsidRPr="00B5708F" w:rsidRDefault="00051B50" w:rsidP="00051B50">
      <w:pPr>
        <w:spacing w:after="0" w:line="240" w:lineRule="auto"/>
        <w:outlineLvl w:val="1"/>
        <w:rPr>
          <w:bCs/>
        </w:rPr>
      </w:pPr>
      <w:r w:rsidRPr="00B5708F">
        <w:rPr>
          <w:bCs/>
        </w:rPr>
        <w:t>Miejscowość:</w:t>
      </w:r>
      <w:r w:rsidR="00E06151">
        <w:rPr>
          <w:bCs/>
        </w:rPr>
        <w:t xml:space="preserve"> </w:t>
      </w:r>
      <w:r w:rsidR="00573B00" w:rsidRPr="00573B00">
        <w:rPr>
          <w:bCs/>
        </w:rPr>
        <w:t>Przeźmierowo</w:t>
      </w:r>
    </w:p>
    <w:p w14:paraId="27E9A31F" w14:textId="3BF74DD4" w:rsidR="00051B50" w:rsidRPr="00B5708F" w:rsidRDefault="00051B50" w:rsidP="00051B50">
      <w:pPr>
        <w:spacing w:after="0" w:line="240" w:lineRule="auto"/>
        <w:outlineLvl w:val="1"/>
        <w:rPr>
          <w:bCs/>
        </w:rPr>
      </w:pPr>
      <w:r w:rsidRPr="00B5708F">
        <w:rPr>
          <w:bCs/>
        </w:rPr>
        <w:t>Kod pocztowy:</w:t>
      </w:r>
      <w:r w:rsidR="00E06151">
        <w:rPr>
          <w:bCs/>
        </w:rPr>
        <w:t xml:space="preserve"> </w:t>
      </w:r>
      <w:r w:rsidR="00573B00" w:rsidRPr="00573B00">
        <w:rPr>
          <w:bCs/>
        </w:rPr>
        <w:t>62-081</w:t>
      </w:r>
    </w:p>
    <w:p w14:paraId="3D25AE1C" w14:textId="18D6AF91" w:rsidR="00051B50" w:rsidRPr="00B5708F" w:rsidRDefault="00051B50" w:rsidP="00051B50">
      <w:pPr>
        <w:spacing w:after="0" w:line="240" w:lineRule="auto"/>
        <w:outlineLvl w:val="1"/>
        <w:rPr>
          <w:bCs/>
        </w:rPr>
      </w:pPr>
      <w:r w:rsidRPr="00B5708F">
        <w:rPr>
          <w:bCs/>
        </w:rPr>
        <w:t>Ulica:</w:t>
      </w:r>
      <w:r w:rsidR="00E06151">
        <w:rPr>
          <w:bCs/>
        </w:rPr>
        <w:t xml:space="preserve"> </w:t>
      </w:r>
      <w:r w:rsidR="00573B00" w:rsidRPr="00573B00">
        <w:rPr>
          <w:bCs/>
        </w:rPr>
        <w:t>Słoneczna</w:t>
      </w:r>
    </w:p>
    <w:p w14:paraId="703F6B4A" w14:textId="43D2265D" w:rsidR="00051B50" w:rsidRPr="00B5708F" w:rsidRDefault="00051B50" w:rsidP="00051B50">
      <w:pPr>
        <w:spacing w:after="0" w:line="240" w:lineRule="auto"/>
        <w:outlineLvl w:val="1"/>
        <w:rPr>
          <w:bCs/>
        </w:rPr>
      </w:pPr>
      <w:r w:rsidRPr="00B5708F">
        <w:rPr>
          <w:bCs/>
        </w:rPr>
        <w:t>Numer:</w:t>
      </w:r>
      <w:r w:rsidR="00E06151">
        <w:rPr>
          <w:bCs/>
        </w:rPr>
        <w:t xml:space="preserve"> </w:t>
      </w:r>
      <w:r w:rsidR="00573B00" w:rsidRPr="00573B00">
        <w:rPr>
          <w:bCs/>
        </w:rPr>
        <w:t>6</w:t>
      </w:r>
    </w:p>
    <w:p w14:paraId="0F2BFFC1" w14:textId="1EB5235F" w:rsidR="00051B50" w:rsidRDefault="00051B50" w:rsidP="00A867F7">
      <w:pPr>
        <w:spacing w:before="100" w:beforeAutospacing="1" w:after="100" w:afterAutospacing="1" w:line="240" w:lineRule="auto"/>
        <w:outlineLvl w:val="1"/>
        <w:rPr>
          <w:rFonts w:eastAsia="Times New Roman" w:cs="Times New Roman"/>
          <w:b/>
          <w:bCs/>
          <w:sz w:val="32"/>
          <w:szCs w:val="36"/>
          <w:lang w:eastAsia="pl-PL"/>
        </w:rPr>
      </w:pPr>
      <w:r w:rsidRPr="00051B50">
        <w:rPr>
          <w:rFonts w:eastAsia="Times New Roman" w:cs="Times New Roman"/>
          <w:b/>
          <w:bCs/>
          <w:sz w:val="32"/>
          <w:szCs w:val="36"/>
          <w:lang w:eastAsia="pl-PL"/>
        </w:rPr>
        <w:t>Osoba do kontaktu w sprawie ogłoszenia</w:t>
      </w:r>
    </w:p>
    <w:p w14:paraId="21E3F72E" w14:textId="7B593E65" w:rsidR="00051B50" w:rsidRPr="00B5708F" w:rsidRDefault="00051B50" w:rsidP="00051B50">
      <w:pPr>
        <w:spacing w:after="0" w:line="240" w:lineRule="auto"/>
        <w:outlineLvl w:val="1"/>
        <w:rPr>
          <w:rFonts w:eastAsia="Times New Roman" w:cs="Times New Roman"/>
          <w:szCs w:val="24"/>
          <w:lang w:eastAsia="pl-PL"/>
        </w:rPr>
      </w:pPr>
      <w:r w:rsidRPr="00B5708F">
        <w:rPr>
          <w:rFonts w:eastAsia="Times New Roman" w:cs="Times New Roman"/>
          <w:szCs w:val="24"/>
          <w:lang w:eastAsia="pl-PL"/>
        </w:rPr>
        <w:t>Imię i nazwisko:</w:t>
      </w:r>
      <w:r w:rsidR="00E06151">
        <w:rPr>
          <w:rFonts w:eastAsia="Times New Roman" w:cs="Times New Roman"/>
          <w:szCs w:val="24"/>
          <w:lang w:eastAsia="pl-PL"/>
        </w:rPr>
        <w:t xml:space="preserve"> </w:t>
      </w:r>
      <w:r w:rsidR="00FC6784" w:rsidRPr="00FC6784">
        <w:rPr>
          <w:rFonts w:eastAsia="Times New Roman" w:cs="Times New Roman"/>
          <w:szCs w:val="24"/>
          <w:lang w:eastAsia="pl-PL"/>
        </w:rPr>
        <w:t>Przemysław Koźlak</w:t>
      </w:r>
    </w:p>
    <w:p w14:paraId="765A91DA" w14:textId="384932A3" w:rsidR="00051B50" w:rsidRPr="00B5708F" w:rsidRDefault="00051B50" w:rsidP="00051B50">
      <w:pPr>
        <w:spacing w:after="0" w:line="240" w:lineRule="auto"/>
        <w:outlineLvl w:val="1"/>
        <w:rPr>
          <w:rFonts w:eastAsia="Times New Roman" w:cs="Times New Roman"/>
          <w:szCs w:val="24"/>
          <w:lang w:eastAsia="pl-PL"/>
        </w:rPr>
      </w:pPr>
      <w:r w:rsidRPr="00B5708F">
        <w:rPr>
          <w:rFonts w:eastAsia="Times New Roman" w:cs="Times New Roman"/>
          <w:szCs w:val="24"/>
          <w:lang w:eastAsia="pl-PL"/>
        </w:rPr>
        <w:t>Adres e-mail:</w:t>
      </w:r>
      <w:r w:rsidR="00E06151">
        <w:rPr>
          <w:rFonts w:eastAsia="Times New Roman" w:cs="Times New Roman"/>
          <w:szCs w:val="24"/>
          <w:lang w:eastAsia="pl-PL"/>
        </w:rPr>
        <w:t xml:space="preserve"> </w:t>
      </w:r>
      <w:r w:rsidR="00CF6887" w:rsidRPr="00CF6887">
        <w:rPr>
          <w:rFonts w:eastAsia="Times New Roman" w:cs="Times New Roman"/>
          <w:szCs w:val="24"/>
          <w:lang w:eastAsia="pl-PL"/>
        </w:rPr>
        <w:t>pkozlak@pol-mak.com.pl</w:t>
      </w:r>
    </w:p>
    <w:p w14:paraId="7C57117D" w14:textId="0825D4EC" w:rsidR="00A867F7" w:rsidRPr="00A867F7" w:rsidRDefault="00A867F7" w:rsidP="00A867F7">
      <w:pPr>
        <w:spacing w:before="100" w:beforeAutospacing="1" w:after="100" w:afterAutospacing="1" w:line="240" w:lineRule="auto"/>
        <w:outlineLvl w:val="1"/>
        <w:rPr>
          <w:rFonts w:eastAsia="Times New Roman" w:cs="Times New Roman"/>
          <w:b/>
          <w:bCs/>
          <w:sz w:val="32"/>
          <w:szCs w:val="36"/>
          <w:lang w:eastAsia="pl-PL"/>
        </w:rPr>
      </w:pPr>
      <w:r w:rsidRPr="00A867F7">
        <w:rPr>
          <w:rFonts w:eastAsia="Times New Roman" w:cs="Times New Roman"/>
          <w:b/>
          <w:bCs/>
          <w:sz w:val="32"/>
          <w:szCs w:val="36"/>
          <w:lang w:eastAsia="pl-PL"/>
        </w:rPr>
        <w:t>Informacje o ogłoszeniu</w:t>
      </w:r>
    </w:p>
    <w:p w14:paraId="3346E0E5" w14:textId="347E16EB" w:rsidR="00965863" w:rsidRPr="007A04B0" w:rsidRDefault="00A867F7" w:rsidP="007A04B0">
      <w:pPr>
        <w:rPr>
          <w:b/>
        </w:rPr>
      </w:pPr>
      <w:r w:rsidRPr="007A04B0">
        <w:rPr>
          <w:b/>
        </w:rPr>
        <w:t>Tytuł zamówienia</w:t>
      </w:r>
    </w:p>
    <w:p w14:paraId="5EB774E4" w14:textId="7DD49A07" w:rsidR="003D2E13" w:rsidRPr="00E05B33" w:rsidRDefault="00E06E6D" w:rsidP="007A04B0">
      <w:pPr>
        <w:rPr>
          <w:rStyle w:val="Tytulzamwienia"/>
        </w:rPr>
      </w:pPr>
      <w:bookmarkStart w:id="1" w:name="OLE_LINK1"/>
      <w:r w:rsidRPr="00E05B33">
        <w:rPr>
          <w:rStyle w:val="Tytulzamwienia"/>
        </w:rPr>
        <w:t xml:space="preserve">Dostawa, montaż i uruchomienie </w:t>
      </w:r>
      <w:r w:rsidR="00CF6887">
        <w:rPr>
          <w:rStyle w:val="Tytulzamwienia"/>
        </w:rPr>
        <w:t>maszyny papierniczej</w:t>
      </w:r>
    </w:p>
    <w:bookmarkEnd w:id="1"/>
    <w:p w14:paraId="2FF4BCEA" w14:textId="383757B8" w:rsidR="00A53F7D" w:rsidRDefault="00F00CBF" w:rsidP="00690F3C">
      <w:pPr>
        <w:rPr>
          <w:b/>
        </w:rPr>
      </w:pPr>
      <w:r>
        <w:rPr>
          <w:b/>
        </w:rPr>
        <w:t>Link do ogłoszenia w Bazie Konkurencyjności:</w:t>
      </w:r>
    </w:p>
    <w:p w14:paraId="5E36B125" w14:textId="64C7F14C" w:rsidR="00F00CBF" w:rsidRDefault="00F00CBF" w:rsidP="00690F3C">
      <w:hyperlink r:id="rId9" w:history="1">
        <w:r w:rsidRPr="003432D9">
          <w:rPr>
            <w:rStyle w:val="Hipercze"/>
          </w:rPr>
          <w:t>https://bazakonkurencyjnosci.funduszeeuropejskie.gov.pl/ogloszenia/208946</w:t>
        </w:r>
      </w:hyperlink>
    </w:p>
    <w:p w14:paraId="3AC44FC2" w14:textId="290AB541" w:rsidR="00F00CBF" w:rsidRPr="00F00CBF" w:rsidRDefault="00F00CBF" w:rsidP="00690F3C">
      <w:pPr>
        <w:rPr>
          <w:b/>
          <w:bCs/>
        </w:rPr>
      </w:pPr>
      <w:r w:rsidRPr="00F00CBF">
        <w:rPr>
          <w:b/>
          <w:bCs/>
        </w:rPr>
        <w:t>Termin składania ofert</w:t>
      </w:r>
      <w:r>
        <w:rPr>
          <w:b/>
          <w:bCs/>
        </w:rPr>
        <w:t>:</w:t>
      </w:r>
    </w:p>
    <w:p w14:paraId="6AD5D9A0" w14:textId="66BE4C17" w:rsidR="00F00CBF" w:rsidRPr="00051B50" w:rsidRDefault="00F00CBF" w:rsidP="00690F3C">
      <w:r>
        <w:t>Wskazany w powyższym linku</w:t>
      </w:r>
    </w:p>
    <w:p w14:paraId="3BC8E9A1" w14:textId="21BA0CF9" w:rsidR="00A867F7" w:rsidRDefault="00051B50" w:rsidP="00F11EB2">
      <w:pPr>
        <w:jc w:val="both"/>
        <w:rPr>
          <w:b/>
        </w:rPr>
      </w:pPr>
      <w:r>
        <w:rPr>
          <w:b/>
        </w:rPr>
        <w:t>Opis p</w:t>
      </w:r>
      <w:r w:rsidR="00A867F7" w:rsidRPr="00F11EB2">
        <w:rPr>
          <w:b/>
        </w:rPr>
        <w:t>rzedmiot</w:t>
      </w:r>
      <w:r>
        <w:rPr>
          <w:b/>
        </w:rPr>
        <w:t>u</w:t>
      </w:r>
      <w:r w:rsidR="00A867F7" w:rsidRPr="00F11EB2">
        <w:rPr>
          <w:b/>
        </w:rPr>
        <w:t xml:space="preserve"> zamówienia</w:t>
      </w:r>
      <w:r>
        <w:rPr>
          <w:b/>
        </w:rPr>
        <w:t xml:space="preserve"> (max. 10 000 znaków)</w:t>
      </w:r>
    </w:p>
    <w:p w14:paraId="0BDE3D65" w14:textId="61C3E9F3" w:rsidR="00C50E2E" w:rsidRPr="00C50E2E" w:rsidRDefault="00C50E2E" w:rsidP="00C50E2E">
      <w:r w:rsidRPr="00E05B33">
        <w:rPr>
          <w:rStyle w:val="Tytulzamwienia"/>
        </w:rPr>
        <w:t xml:space="preserve">Dostawa, montaż i uruchomienie </w:t>
      </w:r>
      <w:r>
        <w:rPr>
          <w:rStyle w:val="Tytulzamwienia"/>
        </w:rPr>
        <w:t>maszyny papierniczej</w:t>
      </w:r>
    </w:p>
    <w:p w14:paraId="157E943F" w14:textId="77777777" w:rsidR="00C50E2E" w:rsidRPr="00C50E2E" w:rsidRDefault="00C50E2E" w:rsidP="00C50E2E">
      <w:pPr>
        <w:numPr>
          <w:ilvl w:val="0"/>
          <w:numId w:val="21"/>
        </w:numPr>
        <w:tabs>
          <w:tab w:val="left" w:pos="567"/>
          <w:tab w:val="left" w:pos="1134"/>
          <w:tab w:val="left" w:pos="1701"/>
          <w:tab w:val="right" w:pos="4253"/>
          <w:tab w:val="center" w:pos="6379"/>
          <w:tab w:val="left" w:pos="6663"/>
        </w:tabs>
        <w:rPr>
          <w:bCs/>
        </w:rPr>
      </w:pPr>
      <w:r w:rsidRPr="00C50E2E">
        <w:rPr>
          <w:bCs/>
        </w:rPr>
        <w:t>Parametry główne:</w:t>
      </w:r>
    </w:p>
    <w:p w14:paraId="3409F4F4" w14:textId="77777777" w:rsidR="00C50E2E" w:rsidRDefault="00C50E2E" w:rsidP="00C50E2E">
      <w:pPr>
        <w:numPr>
          <w:ilvl w:val="0"/>
          <w:numId w:val="22"/>
        </w:numPr>
        <w:tabs>
          <w:tab w:val="left" w:pos="567"/>
          <w:tab w:val="left" w:pos="1134"/>
          <w:tab w:val="left" w:pos="1701"/>
          <w:tab w:val="right" w:pos="4253"/>
          <w:tab w:val="center" w:pos="6379"/>
          <w:tab w:val="left" w:pos="6663"/>
        </w:tabs>
      </w:pPr>
      <w:r>
        <w:t>Wydajność produkcji</w:t>
      </w:r>
      <w:r w:rsidRPr="00022BF6">
        <w:t xml:space="preserve">  - </w:t>
      </w:r>
      <w:r>
        <w:t>minimum 10</w:t>
      </w:r>
      <w:r w:rsidRPr="00022BF6">
        <w:t>0 t/d</w:t>
      </w:r>
      <w:r>
        <w:t xml:space="preserve"> dla gramatury 16g/m2 i minimum 120 t/d dla gramatur powyżej 18 g/m2. </w:t>
      </w:r>
    </w:p>
    <w:p w14:paraId="7D06F3BA" w14:textId="77777777" w:rsidR="00C50E2E" w:rsidRDefault="00C50E2E" w:rsidP="00C50E2E">
      <w:pPr>
        <w:numPr>
          <w:ilvl w:val="0"/>
          <w:numId w:val="22"/>
        </w:numPr>
        <w:tabs>
          <w:tab w:val="left" w:pos="567"/>
          <w:tab w:val="left" w:pos="1134"/>
          <w:tab w:val="left" w:pos="1701"/>
          <w:tab w:val="right" w:pos="4253"/>
          <w:tab w:val="center" w:pos="6379"/>
          <w:tab w:val="left" w:pos="6663"/>
        </w:tabs>
      </w:pPr>
      <w:r>
        <w:t>Zakres produkowanych gramatur – 14-28 g/m2</w:t>
      </w:r>
    </w:p>
    <w:p w14:paraId="0EC12487" w14:textId="77777777" w:rsidR="00C50E2E" w:rsidRDefault="00C50E2E" w:rsidP="00C50E2E">
      <w:pPr>
        <w:numPr>
          <w:ilvl w:val="0"/>
          <w:numId w:val="22"/>
        </w:numPr>
        <w:tabs>
          <w:tab w:val="left" w:pos="567"/>
          <w:tab w:val="left" w:pos="1134"/>
          <w:tab w:val="left" w:pos="1701"/>
          <w:tab w:val="right" w:pos="4253"/>
          <w:tab w:val="center" w:pos="6379"/>
          <w:tab w:val="left" w:pos="6663"/>
        </w:tabs>
      </w:pPr>
      <w:r>
        <w:t>Minimalna wymagana prędkość produkcyjna dla bibuły o gramaturze 21g/m2: 1.400 m/min</w:t>
      </w:r>
    </w:p>
    <w:p w14:paraId="22A30F8F" w14:textId="77777777" w:rsidR="00C50E2E" w:rsidRDefault="00C50E2E" w:rsidP="00C50E2E">
      <w:pPr>
        <w:numPr>
          <w:ilvl w:val="0"/>
          <w:numId w:val="22"/>
        </w:numPr>
        <w:tabs>
          <w:tab w:val="left" w:pos="567"/>
          <w:tab w:val="left" w:pos="1134"/>
          <w:tab w:val="left" w:pos="1701"/>
          <w:tab w:val="right" w:pos="4253"/>
          <w:tab w:val="center" w:pos="6379"/>
          <w:tab w:val="left" w:pos="6663"/>
        </w:tabs>
      </w:pPr>
      <w:r>
        <w:t>Minimalna wymagana prędkość produkcyjna dla bibuły o gramaturze 18g/m2: 1.800 m/min</w:t>
      </w:r>
    </w:p>
    <w:p w14:paraId="6498A37C" w14:textId="77777777" w:rsidR="00C50E2E" w:rsidRPr="00022BF6" w:rsidRDefault="00C50E2E" w:rsidP="00C50E2E">
      <w:pPr>
        <w:numPr>
          <w:ilvl w:val="0"/>
          <w:numId w:val="22"/>
        </w:numPr>
        <w:tabs>
          <w:tab w:val="left" w:pos="567"/>
          <w:tab w:val="left" w:pos="1134"/>
          <w:tab w:val="left" w:pos="1701"/>
          <w:tab w:val="right" w:pos="4253"/>
          <w:tab w:val="center" w:pos="6379"/>
          <w:tab w:val="left" w:pos="6663"/>
        </w:tabs>
      </w:pPr>
      <w:r>
        <w:t xml:space="preserve">Szerokość wstęgi na nawijarce minimum </w:t>
      </w:r>
      <w:r w:rsidRPr="00FE08B8">
        <w:t>2750mm</w:t>
      </w:r>
    </w:p>
    <w:p w14:paraId="4EC4B146" w14:textId="77777777" w:rsidR="00C50E2E" w:rsidRDefault="00C50E2E" w:rsidP="00C50E2E">
      <w:pPr>
        <w:numPr>
          <w:ilvl w:val="0"/>
          <w:numId w:val="22"/>
        </w:numPr>
        <w:tabs>
          <w:tab w:val="left" w:pos="567"/>
          <w:tab w:val="left" w:pos="1134"/>
          <w:tab w:val="left" w:pos="1701"/>
          <w:tab w:val="right" w:pos="4253"/>
          <w:tab w:val="center" w:pos="6379"/>
          <w:tab w:val="left" w:pos="6663"/>
        </w:tabs>
      </w:pPr>
      <w:r w:rsidRPr="00022BF6">
        <w:lastRenderedPageBreak/>
        <w:t>Wykorzystywany surowiec -  celuloza liściasta i iglasta (kró</w:t>
      </w:r>
      <w:r>
        <w:t>t</w:t>
      </w:r>
      <w:r w:rsidRPr="00022BF6">
        <w:t>kie</w:t>
      </w:r>
      <w:r>
        <w:t xml:space="preserve"> </w:t>
      </w:r>
      <w:r w:rsidRPr="00022BF6">
        <w:t>+</w:t>
      </w:r>
      <w:r>
        <w:t xml:space="preserve"> </w:t>
      </w:r>
      <w:r w:rsidRPr="00022BF6">
        <w:t xml:space="preserve">długie włókna) </w:t>
      </w:r>
      <w:r>
        <w:t>oraz długie włókna bawełny</w:t>
      </w:r>
      <w:r w:rsidRPr="00022BF6">
        <w:t xml:space="preserve"> </w:t>
      </w:r>
      <w:r>
        <w:t>o długości do 22mm</w:t>
      </w:r>
    </w:p>
    <w:p w14:paraId="6AD1B37A" w14:textId="77777777" w:rsidR="00C50E2E" w:rsidRDefault="00C50E2E" w:rsidP="00C50E2E">
      <w:pPr>
        <w:tabs>
          <w:tab w:val="left" w:pos="567"/>
          <w:tab w:val="left" w:pos="1134"/>
          <w:tab w:val="left" w:pos="1701"/>
          <w:tab w:val="right" w:pos="4253"/>
          <w:tab w:val="center" w:pos="6379"/>
          <w:tab w:val="left" w:pos="6663"/>
        </w:tabs>
      </w:pPr>
      <w:r>
        <w:tab/>
        <w:t xml:space="preserve"> </w:t>
      </w:r>
    </w:p>
    <w:p w14:paraId="09DF427D" w14:textId="77777777" w:rsidR="00C50E2E" w:rsidRPr="00022BF6" w:rsidRDefault="00C50E2E" w:rsidP="00C50E2E">
      <w:pPr>
        <w:tabs>
          <w:tab w:val="left" w:pos="567"/>
          <w:tab w:val="left" w:pos="1134"/>
          <w:tab w:val="left" w:pos="1701"/>
          <w:tab w:val="right" w:pos="4253"/>
          <w:tab w:val="center" w:pos="6379"/>
          <w:tab w:val="left" w:pos="6663"/>
        </w:tabs>
        <w:ind w:left="720"/>
      </w:pPr>
    </w:p>
    <w:p w14:paraId="55066FEE" w14:textId="77777777" w:rsidR="00C50E2E" w:rsidRPr="00C50E2E" w:rsidRDefault="00C50E2E" w:rsidP="00C50E2E">
      <w:pPr>
        <w:numPr>
          <w:ilvl w:val="0"/>
          <w:numId w:val="21"/>
        </w:numPr>
        <w:tabs>
          <w:tab w:val="left" w:pos="567"/>
          <w:tab w:val="left" w:pos="1134"/>
          <w:tab w:val="left" w:pos="1701"/>
          <w:tab w:val="right" w:pos="4253"/>
          <w:tab w:val="center" w:pos="6379"/>
          <w:tab w:val="left" w:pos="6663"/>
        </w:tabs>
        <w:rPr>
          <w:bCs/>
          <w:lang w:val="en-US"/>
        </w:rPr>
      </w:pPr>
      <w:r w:rsidRPr="00C50E2E">
        <w:rPr>
          <w:bCs/>
        </w:rPr>
        <w:tab/>
      </w:r>
      <w:r w:rsidRPr="00C50E2E">
        <w:rPr>
          <w:bCs/>
          <w:lang w:val="en-US"/>
        </w:rPr>
        <w:t xml:space="preserve">Specyfikacja maszyny papierniczej: </w:t>
      </w:r>
    </w:p>
    <w:p w14:paraId="7300D1FA" w14:textId="77777777" w:rsidR="00C50E2E" w:rsidRPr="0033578B" w:rsidRDefault="00C50E2E" w:rsidP="00C50E2E">
      <w:pPr>
        <w:tabs>
          <w:tab w:val="left" w:pos="567"/>
          <w:tab w:val="left" w:pos="1134"/>
          <w:tab w:val="left" w:pos="1701"/>
          <w:tab w:val="right" w:pos="4253"/>
          <w:tab w:val="center" w:pos="6379"/>
          <w:tab w:val="left" w:pos="6663"/>
        </w:tabs>
        <w:ind w:left="720"/>
        <w:jc w:val="both"/>
      </w:pPr>
      <w:r w:rsidRPr="0033578B">
        <w:t xml:space="preserve">- </w:t>
      </w:r>
      <w:r>
        <w:t xml:space="preserve">Wlew hydrauliczny ciśnieniowy typu crescent former o szerokości wypływu gwarantującej uzyskanie zdefiniowanej minimalnej szerokości wstęgi na nawijarce. Wlew wyposażony w odpowiednie regulacje otwarcia szczeliny wypływowej, kąta podawania masy i pozycji. Komora wypływowa wyposażona w płyty stabilizujące przepływ. Wlew zasilany z pętli recyrkulacyjnej ze zbiornikiem silo i kanałem flume zawierającym sortowniki do finalnego oczyszczania masy. Układ zaprojektowany na przepływ minimum 65.000 l/min.     </w:t>
      </w:r>
    </w:p>
    <w:p w14:paraId="01845FD5" w14:textId="77777777" w:rsidR="00C50E2E" w:rsidRPr="00BB718A" w:rsidRDefault="00C50E2E" w:rsidP="00C50E2E">
      <w:pPr>
        <w:tabs>
          <w:tab w:val="left" w:pos="567"/>
          <w:tab w:val="left" w:pos="1134"/>
          <w:tab w:val="left" w:pos="1701"/>
          <w:tab w:val="right" w:pos="4253"/>
          <w:tab w:val="center" w:pos="6379"/>
          <w:tab w:val="left" w:pos="6663"/>
        </w:tabs>
        <w:ind w:left="720"/>
        <w:jc w:val="both"/>
        <w:rPr>
          <w:color w:val="FF0000"/>
        </w:rPr>
      </w:pPr>
      <w:r>
        <w:t>- Jednostka formująca typu crescent former wyposażona  w konstrukcję nośną zestaw wałów, napinasz sita, regulator biegu sita oraz zestaw natrysków kondycjonujących. Prędkość projektowa minimum 1900m/min.  Szerokość sita gwarantująca uzyskanie zdefiniowanej minimalnej szerokości wstęgi na nawijarce</w:t>
      </w:r>
    </w:p>
    <w:p w14:paraId="4E5D132B" w14:textId="77777777" w:rsidR="00C50E2E" w:rsidRPr="00F70577" w:rsidRDefault="00C50E2E" w:rsidP="00C50E2E">
      <w:pPr>
        <w:tabs>
          <w:tab w:val="left" w:pos="567"/>
          <w:tab w:val="left" w:pos="1134"/>
          <w:tab w:val="left" w:pos="1701"/>
          <w:tab w:val="right" w:pos="4253"/>
          <w:tab w:val="center" w:pos="6379"/>
          <w:tab w:val="left" w:pos="6663"/>
        </w:tabs>
        <w:ind w:left="720"/>
        <w:jc w:val="both"/>
        <w:rPr>
          <w:color w:val="FF0000"/>
        </w:rPr>
      </w:pPr>
      <w:r>
        <w:t>- Sekcja filcu wyposażona  w konstrukcję nośną zestaw wałów, napinasz sita, regulator biegu sita, zestaw natrysków kondycjonujących oraz skrzynek ssących kondycjonujących. Prędkość projektowa minimum 1900m/min.  Szerokość filcu i powiązanych elementów  gwarantująca uzyskanie zdefiniowanej minimalnej szerokości wstęgi na nawijarce</w:t>
      </w:r>
    </w:p>
    <w:p w14:paraId="63B53994" w14:textId="77777777" w:rsidR="00C50E2E" w:rsidRDefault="00C50E2E" w:rsidP="00C50E2E">
      <w:pPr>
        <w:tabs>
          <w:tab w:val="left" w:pos="567"/>
          <w:tab w:val="left" w:pos="1134"/>
          <w:tab w:val="left" w:pos="1701"/>
          <w:tab w:val="right" w:pos="4253"/>
          <w:tab w:val="center" w:pos="6379"/>
          <w:tab w:val="left" w:pos="6663"/>
        </w:tabs>
        <w:ind w:left="720"/>
        <w:jc w:val="both"/>
      </w:pPr>
      <w:r>
        <w:t xml:space="preserve">- Sekcja pras oparta  na konstrukcji nośnej w wykonaniu kwasoodpornym z dwoma wałami prasowymi. Pierwsza prasa jest prasą ssącą o średnicy minimum 1000mm dociskaną do cylindra Yankee hydraulicznie z dociskiem liniowym minimum 90 kN/m. Druga prasa jest prasą ślepowierconą o średnicy minimum 1000mm również dociskaną hydraulicznie z dociskiem liniowym minimum 110kN/m.  </w:t>
      </w:r>
    </w:p>
    <w:p w14:paraId="3A6EC9B8" w14:textId="77777777" w:rsidR="00C50E2E" w:rsidRPr="0033578B" w:rsidRDefault="00C50E2E" w:rsidP="00C50E2E">
      <w:pPr>
        <w:tabs>
          <w:tab w:val="left" w:pos="567"/>
          <w:tab w:val="left" w:pos="1134"/>
          <w:tab w:val="left" w:pos="1701"/>
          <w:tab w:val="right" w:pos="4253"/>
          <w:tab w:val="center" w:pos="6379"/>
          <w:tab w:val="left" w:pos="6663"/>
        </w:tabs>
        <w:ind w:left="720"/>
        <w:jc w:val="both"/>
      </w:pPr>
      <w:r>
        <w:t xml:space="preserve">- Cylinder suszący Yankee o średnicy minimum 4880mm z układem zasilania parą i odbioru kondensatu. Ciśnienie robocze cylindra minimum 8 bar. Prędkość projektowa minimum 1900 m/min. Cylinder rowkowany wewnętrznie wyposażony w kolektory odwadniające wewnątrz oraz zewnętrzną izolację dennic. Powłoka cylindra metalizowana o twardości minimum 50 stopni HRC i grubości minimum 0,70 mm.  Cylinder i konstrukcja nośna kwasoodporna z zestawem 3 szt. skrobaków. Układ termokompresorowy pary i kondensatu do zasilania i regulacji cylindra parą oraz odbioru kondensatu i podawania do kotła parowego. Ciśnienie robocze układu minimum 8 bar. Układ cylindra wyposażony w rozwłókniacz podmaszynowy dla odbioru wstęgi podczas wymiany ostrzy skrobakowych dla pełnej wydajności maszyny minimum 100 t/d.  </w:t>
      </w:r>
    </w:p>
    <w:p w14:paraId="473D6159" w14:textId="77777777" w:rsidR="00C50E2E" w:rsidRPr="0033578B" w:rsidRDefault="00C50E2E" w:rsidP="00C50E2E">
      <w:pPr>
        <w:tabs>
          <w:tab w:val="left" w:pos="567"/>
          <w:tab w:val="left" w:pos="1134"/>
          <w:tab w:val="left" w:pos="1701"/>
          <w:tab w:val="right" w:pos="4253"/>
          <w:tab w:val="center" w:pos="6379"/>
          <w:tab w:val="left" w:pos="6663"/>
        </w:tabs>
        <w:ind w:left="720"/>
        <w:jc w:val="both"/>
      </w:pPr>
      <w:r>
        <w:t>- Nawijarka hydrauliczna o możliwości nawijania zwojów o średnicy 2500mm i szerokości minimum 2750mm. Zestaw tamborów do nawijania papieru o średnicy minimum 300mm w ilości minimum 8 szt.</w:t>
      </w:r>
    </w:p>
    <w:p w14:paraId="18CC7471" w14:textId="77777777" w:rsidR="00C50E2E" w:rsidRPr="0033578B" w:rsidRDefault="00C50E2E" w:rsidP="00C50E2E">
      <w:pPr>
        <w:tabs>
          <w:tab w:val="left" w:pos="567"/>
          <w:tab w:val="left" w:pos="1134"/>
          <w:tab w:val="left" w:pos="1701"/>
          <w:tab w:val="right" w:pos="4253"/>
          <w:tab w:val="center" w:pos="6379"/>
          <w:tab w:val="left" w:pos="6663"/>
        </w:tabs>
        <w:ind w:left="720"/>
        <w:jc w:val="both"/>
      </w:pPr>
      <w:r>
        <w:t xml:space="preserve">- Zestaw napędów mechanicznych dla całej maszyny zawierający przekładnie mechaniczne, wały kardana, sprzęgła i osłony. Napęd zaprojektowany na prędkość minimum 2000m/min.  </w:t>
      </w:r>
    </w:p>
    <w:p w14:paraId="3F2B03EB" w14:textId="77777777" w:rsidR="00C50E2E" w:rsidRDefault="00C50E2E" w:rsidP="00F11EB2">
      <w:pPr>
        <w:spacing w:after="0" w:line="240" w:lineRule="auto"/>
      </w:pPr>
    </w:p>
    <w:p w14:paraId="14B873C1" w14:textId="4831F258" w:rsidR="00F11EB2" w:rsidRDefault="00F11EB2" w:rsidP="00F11EB2">
      <w:pPr>
        <w:spacing w:after="0" w:line="240" w:lineRule="auto"/>
      </w:pPr>
      <w:r>
        <w:t>Przedmiot zamówienia obejmuje:</w:t>
      </w:r>
    </w:p>
    <w:p w14:paraId="033D61CC" w14:textId="728B41A1" w:rsidR="00F11EB2" w:rsidRDefault="00F11EB2" w:rsidP="00F11EB2">
      <w:pPr>
        <w:spacing w:after="0" w:line="240" w:lineRule="auto"/>
      </w:pPr>
      <w:r>
        <w:lastRenderedPageBreak/>
        <w:t xml:space="preserve">    - dostawę </w:t>
      </w:r>
      <w:r w:rsidR="00C50E2E">
        <w:t>w systemie ex-works (transport po stronie Zamawiającego)</w:t>
      </w:r>
    </w:p>
    <w:p w14:paraId="022A839A" w14:textId="7BE217F0" w:rsidR="00E06E6D" w:rsidRDefault="00F11EB2" w:rsidP="00F11EB2">
      <w:pPr>
        <w:spacing w:after="0" w:line="240" w:lineRule="auto"/>
      </w:pPr>
      <w:r>
        <w:t xml:space="preserve">    - montaż, uruchomienie oraz przeprowadzenie szkolenia z obsługi</w:t>
      </w:r>
    </w:p>
    <w:p w14:paraId="5AADA02A" w14:textId="4E6E0DF4" w:rsidR="00812503" w:rsidRDefault="002D4A61" w:rsidP="002F65B1">
      <w:pPr>
        <w:spacing w:after="0" w:line="240" w:lineRule="auto"/>
      </w:pPr>
      <w:r>
        <w:t>Zaoferowane urządzenie musi być nowe.</w:t>
      </w:r>
    </w:p>
    <w:p w14:paraId="736D737B" w14:textId="77777777" w:rsidR="00F11EB2" w:rsidRPr="00EA0B29" w:rsidRDefault="00F11EB2" w:rsidP="002F65B1">
      <w:pPr>
        <w:spacing w:after="0" w:line="240" w:lineRule="auto"/>
        <w:rPr>
          <w:rFonts w:eastAsia="Calibri" w:cstheme="minorHAnsi"/>
        </w:rPr>
      </w:pPr>
    </w:p>
    <w:p w14:paraId="34074AF1" w14:textId="79907A28" w:rsidR="00A867F7" w:rsidRPr="00F11EB2" w:rsidRDefault="00A867F7" w:rsidP="00F11EB2">
      <w:pPr>
        <w:rPr>
          <w:b/>
        </w:rPr>
      </w:pPr>
      <w:r w:rsidRPr="00F11EB2">
        <w:rPr>
          <w:b/>
        </w:rPr>
        <w:t>Kod</w:t>
      </w:r>
      <w:r w:rsidR="00051B50">
        <w:rPr>
          <w:b/>
        </w:rPr>
        <w:t>y</w:t>
      </w:r>
      <w:r w:rsidRPr="00F11EB2">
        <w:rPr>
          <w:b/>
        </w:rPr>
        <w:t xml:space="preserve"> CPV</w:t>
      </w:r>
    </w:p>
    <w:p w14:paraId="290B774A" w14:textId="36AB383C" w:rsidR="006026AB" w:rsidRDefault="00E06E6D" w:rsidP="00F11EB2">
      <w:r w:rsidRPr="00E06E6D">
        <w:t>42000000-6</w:t>
      </w:r>
      <w:r>
        <w:t xml:space="preserve"> </w:t>
      </w:r>
      <w:r w:rsidRPr="00E06E6D">
        <w:t>Maszyny przemysłowe</w:t>
      </w:r>
    </w:p>
    <w:p w14:paraId="4351D1FE" w14:textId="76A28DE7" w:rsidR="00BA6BEA" w:rsidRPr="00BA6BEA" w:rsidRDefault="00BA6BEA" w:rsidP="00F11EB2">
      <w:pPr>
        <w:rPr>
          <w:bCs/>
        </w:rPr>
      </w:pPr>
      <w:r w:rsidRPr="00BA6BEA">
        <w:rPr>
          <w:bCs/>
        </w:rPr>
        <w:t xml:space="preserve">42800000-4 Maszyny do produkcji papieru i tektury </w:t>
      </w:r>
    </w:p>
    <w:p w14:paraId="3E24F20D" w14:textId="28F3F264" w:rsidR="0092304D" w:rsidRDefault="0092304D" w:rsidP="002F757B">
      <w:pPr>
        <w:rPr>
          <w:b/>
        </w:rPr>
      </w:pPr>
      <w:r w:rsidRPr="0092304D">
        <w:rPr>
          <w:b/>
        </w:rPr>
        <w:t>Miejsce realizacji zamówienia</w:t>
      </w:r>
    </w:p>
    <w:p w14:paraId="31A6AA70" w14:textId="1311D0A4" w:rsidR="002F757B" w:rsidRPr="00BA6BEA" w:rsidRDefault="00BA6BEA" w:rsidP="002F757B">
      <w:pPr>
        <w:rPr>
          <w:bCs/>
        </w:rPr>
      </w:pPr>
      <w:r w:rsidRPr="00BA6BEA">
        <w:rPr>
          <w:bCs/>
        </w:rPr>
        <w:t>Iława</w:t>
      </w:r>
    </w:p>
    <w:p w14:paraId="37EC195D" w14:textId="3BC98CA2" w:rsidR="005B11DB" w:rsidRPr="00F11EB2" w:rsidRDefault="00A867F7" w:rsidP="00F11EB2">
      <w:pPr>
        <w:spacing w:before="240"/>
        <w:rPr>
          <w:b/>
        </w:rPr>
      </w:pPr>
      <w:r w:rsidRPr="00F11EB2">
        <w:rPr>
          <w:b/>
        </w:rPr>
        <w:t>H</w:t>
      </w:r>
      <w:r w:rsidR="00A53F7D" w:rsidRPr="00F11EB2">
        <w:rPr>
          <w:b/>
        </w:rPr>
        <w:t>armonogram realizacji zamówienia</w:t>
      </w:r>
    </w:p>
    <w:p w14:paraId="7795E990" w14:textId="28EE2A2B" w:rsidR="00A53F7D" w:rsidRDefault="006026AB" w:rsidP="00405105">
      <w:pPr>
        <w:spacing w:before="240"/>
        <w:jc w:val="both"/>
      </w:pPr>
      <w:r>
        <w:t xml:space="preserve">Zamówienie </w:t>
      </w:r>
      <w:r w:rsidR="00F55805">
        <w:t xml:space="preserve">(rozumiane jako udostępnienie maszyny do transportu w systemie ex-works) </w:t>
      </w:r>
      <w:r>
        <w:t>powinno zostać zrealizowane</w:t>
      </w:r>
      <w:r w:rsidR="003662CC">
        <w:t xml:space="preserve"> </w:t>
      </w:r>
      <w:r>
        <w:t xml:space="preserve">nie później niż </w:t>
      </w:r>
      <w:r w:rsidR="00BA6BEA">
        <w:t>do dnia 31.</w:t>
      </w:r>
      <w:r w:rsidR="00F55805">
        <w:t>12</w:t>
      </w:r>
      <w:r w:rsidR="00BA6BEA">
        <w:t>.2025</w:t>
      </w:r>
      <w:r w:rsidR="00F55805">
        <w:t xml:space="preserve"> r.</w:t>
      </w:r>
      <w:r w:rsidR="00791098">
        <w:t xml:space="preserve"> Obowiązkiem oferenta będzie również montaż i uruchomienie maszyny oraz przeprowadzenie szkolenia z obsługi. </w:t>
      </w:r>
      <w:r w:rsidR="00405105">
        <w:t>Nastąpi to po przetransportowaniu maszyny do miejsca realizacji zamówienia (Iława), w terminie ustalonym przez strony.</w:t>
      </w:r>
    </w:p>
    <w:p w14:paraId="4C4F0CCF" w14:textId="20E9EA8F" w:rsidR="00F11EB2" w:rsidRPr="00A53F7D" w:rsidRDefault="00F11EB2" w:rsidP="00405105">
      <w:pPr>
        <w:spacing w:before="240"/>
        <w:jc w:val="both"/>
      </w:pPr>
      <w:r>
        <w:t>Termin realizacji zamówienia może ulec zmianie w przypadku zaistnienia okoliczności wskazanych w punkcie „Warunki zmiany umowy”.</w:t>
      </w:r>
    </w:p>
    <w:p w14:paraId="4D2E1EEA" w14:textId="77777777" w:rsidR="00A867F7" w:rsidRPr="005B11DB" w:rsidRDefault="00A867F7" w:rsidP="00A867F7">
      <w:pPr>
        <w:pStyle w:val="Nagwek2"/>
        <w:spacing w:before="240" w:beforeAutospacing="0"/>
        <w:rPr>
          <w:rFonts w:asciiTheme="minorHAnsi" w:hAnsiTheme="minorHAnsi"/>
          <w:sz w:val="32"/>
        </w:rPr>
      </w:pPr>
      <w:r w:rsidRPr="005B11DB">
        <w:rPr>
          <w:rFonts w:asciiTheme="minorHAnsi" w:hAnsiTheme="minorHAnsi"/>
          <w:sz w:val="32"/>
        </w:rPr>
        <w:t>Warunki udziału w postępowaniu</w:t>
      </w:r>
    </w:p>
    <w:p w14:paraId="7D64DC88" w14:textId="77777777" w:rsidR="00EB7B68" w:rsidRPr="00F11EB2" w:rsidRDefault="00A867F7" w:rsidP="00F11EB2">
      <w:pPr>
        <w:rPr>
          <w:b/>
        </w:rPr>
      </w:pPr>
      <w:r w:rsidRPr="00F11EB2">
        <w:rPr>
          <w:b/>
        </w:rPr>
        <w:t>Uprawnienia do wykonania określonej działalności lub czynności</w:t>
      </w:r>
    </w:p>
    <w:p w14:paraId="216D5255" w14:textId="77777777" w:rsidR="00A53F7D" w:rsidRPr="00A53F7D" w:rsidRDefault="00B90CE9" w:rsidP="00F11EB2">
      <w:r w:rsidRPr="00B90CE9">
        <w:t>Zamawiający nie stawia warunków w tym zakresie.</w:t>
      </w:r>
    </w:p>
    <w:p w14:paraId="79FC4358" w14:textId="52B1858B" w:rsidR="00A867F7" w:rsidRPr="00F11EB2" w:rsidRDefault="00A867F7" w:rsidP="00F11EB2">
      <w:pPr>
        <w:rPr>
          <w:b/>
        </w:rPr>
      </w:pPr>
      <w:r w:rsidRPr="00F11EB2">
        <w:rPr>
          <w:b/>
        </w:rPr>
        <w:t>Wiedza i doświadczenie</w:t>
      </w:r>
    </w:p>
    <w:p w14:paraId="158E47ED" w14:textId="1BCC8710" w:rsidR="00E07C4A" w:rsidRPr="00B114DF" w:rsidRDefault="00E07C4A" w:rsidP="00E07C4A">
      <w:pPr>
        <w:jc w:val="both"/>
      </w:pPr>
      <w:r w:rsidRPr="00B114DF">
        <w:t xml:space="preserve">Warunek zostanie uznany za spełniony, jeżeli wykonawca wykaże, że w okresie ostatnich 3 lat przed terminem składania ofert, a jeśli okres prowadzenia działalności jest krótszy - w tym okresie, należycie wykonał co najmniej trzy zadania polegające na </w:t>
      </w:r>
      <w:r w:rsidR="0073438E" w:rsidRPr="00B114DF">
        <w:t xml:space="preserve">dostawie (dopuszczalna dostawa w systemie ex-works), montażu i uruchomieniu maszyny papierniczej </w:t>
      </w:r>
      <w:r w:rsidR="00174C5B" w:rsidRPr="00B114DF">
        <w:t xml:space="preserve">o prędkości min. 1400 m/min dla gramatury </w:t>
      </w:r>
      <w:r w:rsidR="007D518D" w:rsidRPr="00B114DF">
        <w:t xml:space="preserve">21g/m2 z cylindrem Yankee o średnicy min. </w:t>
      </w:r>
      <w:r w:rsidR="00B114DF" w:rsidRPr="00B114DF">
        <w:t>4880 mm.</w:t>
      </w:r>
    </w:p>
    <w:p w14:paraId="3CC0206E" w14:textId="2DA83ABD" w:rsidR="00E07C4A" w:rsidRDefault="00E07C4A" w:rsidP="00E07C4A">
      <w:pPr>
        <w:jc w:val="both"/>
      </w:pPr>
      <w:r w:rsidRPr="00B114DF">
        <w:t xml:space="preserve">Weryfikacja na podstawie wykazu </w:t>
      </w:r>
      <w:r w:rsidR="00C7637A" w:rsidRPr="00B114DF">
        <w:t>zrealizowanych</w:t>
      </w:r>
      <w:r w:rsidR="00E722D7" w:rsidRPr="00B114DF">
        <w:t xml:space="preserve"> usług</w:t>
      </w:r>
      <w:r w:rsidRPr="00B114DF">
        <w:t xml:space="preserve"> znajdującego się w treści formularza ofertowego. Zamawiający zastrzega sobie prawo do weryfikacji posiadanego doświadczenia na etapie oceny ofert (Zamawiający może zwrócić się do oferentów z prośbą o przedstawienie dokumentów potwierdzających posiadane doświadczenie).</w:t>
      </w:r>
    </w:p>
    <w:p w14:paraId="55DA305A" w14:textId="29A88FF0" w:rsidR="00A867F7" w:rsidRPr="00F11EB2" w:rsidRDefault="00A867F7" w:rsidP="00F11EB2">
      <w:pPr>
        <w:rPr>
          <w:b/>
        </w:rPr>
      </w:pPr>
      <w:r w:rsidRPr="00F11EB2">
        <w:rPr>
          <w:b/>
        </w:rPr>
        <w:t>Potencjał techniczny</w:t>
      </w:r>
    </w:p>
    <w:p w14:paraId="25359CFD" w14:textId="77777777" w:rsidR="00114DB9" w:rsidRDefault="00114DB9" w:rsidP="00F11EB2">
      <w:r w:rsidRPr="00114DB9">
        <w:t>Zamawiający nie stawia warunków w tym zakresie.</w:t>
      </w:r>
    </w:p>
    <w:p w14:paraId="2B8C580E" w14:textId="1E28FB18" w:rsidR="00A867F7" w:rsidRPr="00F11EB2" w:rsidRDefault="00A867F7" w:rsidP="00F11EB2">
      <w:pPr>
        <w:rPr>
          <w:b/>
        </w:rPr>
      </w:pPr>
      <w:r w:rsidRPr="00F11EB2">
        <w:rPr>
          <w:b/>
        </w:rPr>
        <w:t>Osoby zdolne do wykonania zamówienia</w:t>
      </w:r>
    </w:p>
    <w:p w14:paraId="7C4C6BBF" w14:textId="77777777" w:rsidR="00114DB9" w:rsidRDefault="00114DB9" w:rsidP="00F11EB2">
      <w:r w:rsidRPr="00114DB9">
        <w:t>Zamawiający nie stawia warunków w tym zakresie.</w:t>
      </w:r>
    </w:p>
    <w:p w14:paraId="19216C68" w14:textId="6DEEC6C5" w:rsidR="00A867F7" w:rsidRPr="00F11EB2" w:rsidRDefault="00A867F7" w:rsidP="00F11EB2">
      <w:pPr>
        <w:rPr>
          <w:b/>
        </w:rPr>
      </w:pPr>
      <w:r w:rsidRPr="00F11EB2">
        <w:rPr>
          <w:b/>
        </w:rPr>
        <w:t>Sytuacja ekonomiczna i finansowa</w:t>
      </w:r>
    </w:p>
    <w:p w14:paraId="4667F7EE" w14:textId="77777777" w:rsidR="00114DB9" w:rsidRDefault="00114DB9" w:rsidP="00F11EB2">
      <w:r w:rsidRPr="00114DB9">
        <w:lastRenderedPageBreak/>
        <w:t>Zamawiający nie stawia warunków w tym zakresie.</w:t>
      </w:r>
    </w:p>
    <w:p w14:paraId="3F1027C2" w14:textId="77777777" w:rsidR="00114DB9" w:rsidRPr="00114DB9" w:rsidRDefault="00114DB9" w:rsidP="00114DB9">
      <w:pPr>
        <w:rPr>
          <w:b/>
        </w:rPr>
      </w:pPr>
      <w:r w:rsidRPr="00114DB9">
        <w:rPr>
          <w:b/>
        </w:rPr>
        <w:t>Lista dokumentów/oświadczeń wymaganych od Wykonawcy</w:t>
      </w:r>
    </w:p>
    <w:p w14:paraId="64EEBD4D" w14:textId="48C5DC76" w:rsidR="00114DB9" w:rsidRDefault="00114DB9" w:rsidP="00114DB9">
      <w:pPr>
        <w:rPr>
          <w:bCs/>
        </w:rPr>
      </w:pPr>
      <w:r w:rsidRPr="00114DB9">
        <w:rPr>
          <w:bCs/>
        </w:rPr>
        <w:t>Formularz ofertow</w:t>
      </w:r>
      <w:r w:rsidR="00B114DF">
        <w:rPr>
          <w:bCs/>
        </w:rPr>
        <w:t>y</w:t>
      </w:r>
    </w:p>
    <w:p w14:paraId="55CDF11A" w14:textId="5F8119DC" w:rsidR="00B114DF" w:rsidRPr="00114DB9" w:rsidRDefault="00B114DF" w:rsidP="00114DB9">
      <w:pPr>
        <w:rPr>
          <w:bCs/>
        </w:rPr>
      </w:pPr>
      <w:r>
        <w:rPr>
          <w:bCs/>
        </w:rPr>
        <w:t>Specyfikacja techniczna zaoferowanej maszyny</w:t>
      </w:r>
    </w:p>
    <w:p w14:paraId="274077B4" w14:textId="4DBCF423" w:rsidR="00A867F7" w:rsidRPr="00F11EB2" w:rsidRDefault="00A867F7" w:rsidP="00F11EB2">
      <w:pPr>
        <w:rPr>
          <w:b/>
        </w:rPr>
      </w:pPr>
      <w:r w:rsidRPr="00F11EB2">
        <w:rPr>
          <w:b/>
        </w:rPr>
        <w:t>Dodatkowe warunki</w:t>
      </w:r>
    </w:p>
    <w:p w14:paraId="6C92CF72" w14:textId="77777777" w:rsidR="005E0022" w:rsidRDefault="005E0022" w:rsidP="005E0022">
      <w:pPr>
        <w:spacing w:after="0"/>
        <w:jc w:val="both"/>
      </w:pPr>
      <w:r>
        <w:t>Ofertę należy złożyć na formularzu ofertowym załączonym do niniejszego zapytania ofertowego, stanowiącym załącznik nr 1.</w:t>
      </w:r>
    </w:p>
    <w:p w14:paraId="572D344F" w14:textId="371367A5" w:rsidR="005E0022" w:rsidRDefault="005E0022" w:rsidP="005E0022">
      <w:pPr>
        <w:spacing w:after="0"/>
        <w:jc w:val="both"/>
      </w:pPr>
      <w:r>
        <w:t>Oferta może być złożona wyłącznie za pośrednictwem Bazy Konkurencyjności. Oferty złożone w innej formie nie będą rozpatrywane.</w:t>
      </w:r>
    </w:p>
    <w:p w14:paraId="7C3CAA1D" w14:textId="77777777" w:rsidR="005E0022" w:rsidRDefault="005E0022" w:rsidP="005E0022">
      <w:pPr>
        <w:spacing w:after="0"/>
        <w:jc w:val="both"/>
      </w:pPr>
      <w:r>
        <w:t>Oferty należy składać do końca dnia wskazanego w punkcie „Termin składania ofert”.</w:t>
      </w:r>
    </w:p>
    <w:p w14:paraId="3E571E8F" w14:textId="77777777" w:rsidR="005E0022" w:rsidRDefault="005E0022" w:rsidP="005E0022">
      <w:pPr>
        <w:spacing w:after="0"/>
        <w:jc w:val="both"/>
      </w:pPr>
      <w:r>
        <w:t>Oferty niekompletne lub niezgodne z opisem przedmiotu zamówienia, co do których oferent nie udzielił odpowiednich wyjaśnień, nie będą rozpatrywane.</w:t>
      </w:r>
    </w:p>
    <w:p w14:paraId="2F3C2FE3" w14:textId="44E8D2FA" w:rsidR="005E0022" w:rsidRDefault="005E0022" w:rsidP="00E67BE5">
      <w:pPr>
        <w:spacing w:after="0"/>
        <w:jc w:val="both"/>
      </w:pPr>
      <w:r>
        <w:t>Oferta musi być podpisana przez</w:t>
      </w:r>
      <w:r w:rsidR="00E67BE5">
        <w:t xml:space="preserve"> osobę/osoby upoważnioną/upoważnione do reprezentowania oferenta wg dokumentu rejestrowego lub posiadającą/posiadające stosowne pełnomocnictwo (w takim przypadku pełnomocnictwo musi być dołączone do oferty). </w:t>
      </w:r>
      <w:r>
        <w:t>Oferty złożone za pośrednictwem Bazy Konkurencyjności niezawierające podpisanego formularza ofertowego nie będą rozpatrywane.</w:t>
      </w:r>
    </w:p>
    <w:p w14:paraId="7EC9A2B1" w14:textId="77777777" w:rsidR="0084325E" w:rsidRDefault="008E1F22" w:rsidP="00B313F8">
      <w:pPr>
        <w:spacing w:after="0"/>
        <w:jc w:val="both"/>
      </w:pPr>
      <w:r w:rsidRPr="008E1F22">
        <w:t xml:space="preserve">Oferent związany jest ofertą przez okres 30 dni od dnia upływu terminu składania ofert lub w przypadku wyboru Oferenta do czasu podpisania Umowy na wykonanie zadania (chyba, że po upływie 30 dni ważności oferty Oferent złoży oświadczenie, że ważność oferty wygasła). </w:t>
      </w:r>
      <w:r w:rsidR="005E0022">
        <w:t>Zamawiający zastrzega sobie prawo do odwołania lub unieważnienia postępowania ofertowego w dowolnym terminie (również po upływie terminu składania ofert) bez podania przyczyny. W toku badania i oceny ofert Zamawiający może wnioskować o udzielenie wszelkich wyjaśnień i przesłanie dodatkowych informacji dotyczących treści złożonych ofert, jak również wyznaczyć oferentowi nieprzekraczalny termin udzielenia wyjaśnień i dodatkowych informacji (odpowiedzi), pod rygorem pozostawienia oferty bez rozpatrzenia.</w:t>
      </w:r>
      <w:r w:rsidR="00B313F8">
        <w:t xml:space="preserve"> </w:t>
      </w:r>
    </w:p>
    <w:p w14:paraId="054C376B" w14:textId="69B5CEC1" w:rsidR="005E0022" w:rsidRDefault="00B313F8" w:rsidP="00B313F8">
      <w:pPr>
        <w:spacing w:after="0"/>
        <w:jc w:val="both"/>
      </w:pPr>
      <w:r>
        <w:t xml:space="preserve">Jeżeli zaoferowana cena lub koszt będą wydawać się rażąco niskie w stosunku do przedmiotu zamówienia, tj. będą różnić się o więcej niż 30% od średniej arytmetycznej cen wszystkich ważnych ofert niepodlegających odrzuceniu, </w:t>
      </w:r>
      <w:r w:rsidR="00206F5F">
        <w:t>będą budzić</w:t>
      </w:r>
      <w:r>
        <w:t xml:space="preserve"> wątpliwości zamawiającego co do możliwości wykonania przedmiotu zamówienia zgodnie z wymaganiami określonymi w zapytaniu ofertowym lub wynikającymi z odrębnych przepisów, zamawiający </w:t>
      </w:r>
      <w:r w:rsidR="00206F5F">
        <w:t>za</w:t>
      </w:r>
      <w:r>
        <w:t xml:space="preserve">żąda od wykonawcy złożenia w wyznaczonym terminie wyjaśnień, w tym złożenia dowodów w zakresie wyliczenia ceny lub kosztu. Zamawiający oceni te wyjaśnienia w konsultacji z wykonawcą i może odrzucić tę ofertę wyłącznie w przypadku, gdy złożone wyjaśnienia wraz z dowodami nie uzasadniają podanej ceny lub kosztu w tej ofercie. </w:t>
      </w:r>
    </w:p>
    <w:p w14:paraId="72829851" w14:textId="6956D7AB" w:rsidR="00885180" w:rsidRDefault="005E0022" w:rsidP="005E0022">
      <w:pPr>
        <w:spacing w:after="0"/>
        <w:jc w:val="both"/>
      </w:pPr>
      <w:r>
        <w:t>Oferenci są uprawnieni do składania zapytań do treści niniejszego zapytania ofertowego wyłącznie za pośrednictwem Bazy Konkurencyjności. Zamawiający zastrzega sobie prawo nieudzielenia odpowiedzi na zadane przez oferenta pytania jeśli wpłynęły one do Zamawiającego w ostatnim dniu składania ofert.</w:t>
      </w:r>
    </w:p>
    <w:p w14:paraId="251D8642" w14:textId="77777777" w:rsidR="006159AE" w:rsidRDefault="006159AE" w:rsidP="005E0022">
      <w:pPr>
        <w:spacing w:after="0"/>
        <w:jc w:val="both"/>
      </w:pPr>
    </w:p>
    <w:p w14:paraId="1E2E0265" w14:textId="71AA1611" w:rsidR="005E0022" w:rsidRDefault="005E0022" w:rsidP="005E0022">
      <w:pPr>
        <w:spacing w:after="0"/>
        <w:jc w:val="both"/>
      </w:pPr>
      <w:r>
        <w:t>Z udziału w postępowaniu wykluczone są podmioty powiązane osobowo i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7CDF1E7" w14:textId="46A99ADD" w:rsidR="008E7F4D" w:rsidRPr="008E7F4D" w:rsidRDefault="008E7F4D" w:rsidP="008E7F4D">
      <w:pPr>
        <w:spacing w:after="0"/>
        <w:jc w:val="both"/>
      </w:pPr>
      <w:r w:rsidRPr="008E7F4D">
        <w:lastRenderedPageBreak/>
        <w:t>a) uczestniczeniu w spółce jako wspólnik spółki cywilnej lub spółki osobowej,</w:t>
      </w:r>
      <w:r>
        <w:t xml:space="preserve"> </w:t>
      </w:r>
      <w:r w:rsidRPr="008E7F4D">
        <w:t>posiadaniu co najmniej 10% udziałów lub akcji (o ile niższy próg nie wynika z</w:t>
      </w:r>
      <w:r>
        <w:t xml:space="preserve"> </w:t>
      </w:r>
      <w:r w:rsidRPr="008E7F4D">
        <w:t>przepisów prawa), pełnieniu funkcji członka organu nadzorczego lub</w:t>
      </w:r>
      <w:r>
        <w:t xml:space="preserve"> </w:t>
      </w:r>
      <w:r w:rsidRPr="008E7F4D">
        <w:t>zarządzającego, prokurenta, pełnomocnika,</w:t>
      </w:r>
    </w:p>
    <w:p w14:paraId="466A3D3D" w14:textId="0FDFB008" w:rsidR="008E7F4D" w:rsidRPr="008E7F4D" w:rsidRDefault="008E7F4D" w:rsidP="008E7F4D">
      <w:pPr>
        <w:spacing w:after="0"/>
        <w:jc w:val="both"/>
      </w:pPr>
      <w:r w:rsidRPr="008E7F4D">
        <w:t>b) pozostawaniu w związku małżeńskim, w stosunku pokrewieństwa lub</w:t>
      </w:r>
      <w:r>
        <w:t xml:space="preserve"> </w:t>
      </w:r>
      <w:r w:rsidRPr="008E7F4D">
        <w:t>powinowactwa w linii prostej,</w:t>
      </w:r>
      <w:r>
        <w:t xml:space="preserve"> </w:t>
      </w:r>
      <w:r w:rsidRPr="008E7F4D">
        <w:t>pokrewieństwa lub powinowactwa w linii bocznej</w:t>
      </w:r>
      <w:r>
        <w:t xml:space="preserve"> </w:t>
      </w:r>
      <w:r w:rsidRPr="008E7F4D">
        <w:t>do drugiego stopnia, lub związaniu z tytułu</w:t>
      </w:r>
      <w:r>
        <w:t xml:space="preserve"> </w:t>
      </w:r>
      <w:r w:rsidRPr="008E7F4D">
        <w:t>przysposobienia, opieki lub kurateli</w:t>
      </w:r>
      <w:r>
        <w:t xml:space="preserve"> </w:t>
      </w:r>
      <w:r w:rsidRPr="008E7F4D">
        <w:t>albo pozostawaniu we wspólnym pożyciu z wykonawcą, jego</w:t>
      </w:r>
      <w:r>
        <w:t xml:space="preserve"> </w:t>
      </w:r>
      <w:r w:rsidRPr="008E7F4D">
        <w:t>zastępcą</w:t>
      </w:r>
      <w:r>
        <w:t xml:space="preserve"> </w:t>
      </w:r>
      <w:r w:rsidRPr="008E7F4D">
        <w:t>prawnym lub członkami organów zarządzających lub organów nadzorczych</w:t>
      </w:r>
      <w:r>
        <w:t xml:space="preserve"> </w:t>
      </w:r>
      <w:r w:rsidRPr="008E7F4D">
        <w:t>wykonawców ubiegających się o udzielenie zamówienia,</w:t>
      </w:r>
    </w:p>
    <w:p w14:paraId="5E427E3E" w14:textId="77777777" w:rsidR="008E7F4D" w:rsidRDefault="008E7F4D" w:rsidP="008E7F4D">
      <w:pPr>
        <w:spacing w:after="0"/>
        <w:jc w:val="both"/>
      </w:pPr>
      <w:r w:rsidRPr="008E7F4D">
        <w:t>c) pozostawaniu z wykonawcą w takim stosunku prawnym lub faktycznym, że</w:t>
      </w:r>
      <w:r>
        <w:t xml:space="preserve"> </w:t>
      </w:r>
      <w:r w:rsidRPr="008E7F4D">
        <w:t>istnieje uzasadniona</w:t>
      </w:r>
      <w:r>
        <w:t xml:space="preserve"> </w:t>
      </w:r>
      <w:r w:rsidRPr="008E7F4D">
        <w:t>wątpliwość co do ich bezstronności lub niezależności w</w:t>
      </w:r>
      <w:r>
        <w:t xml:space="preserve"> </w:t>
      </w:r>
      <w:r w:rsidRPr="008E7F4D">
        <w:t>związku z postępowaniem o udzielenie zamówienia.</w:t>
      </w:r>
    </w:p>
    <w:p w14:paraId="026C742D" w14:textId="77777777" w:rsidR="005E0022" w:rsidRDefault="005E0022" w:rsidP="005E0022">
      <w:pPr>
        <w:spacing w:after="0"/>
        <w:jc w:val="both"/>
      </w:pPr>
    </w:p>
    <w:p w14:paraId="71171DBF" w14:textId="77777777" w:rsidR="00A22EB4" w:rsidRPr="008A098C" w:rsidRDefault="00A22EB4" w:rsidP="000D1186">
      <w:pPr>
        <w:jc w:val="both"/>
      </w:pPr>
      <w:r w:rsidRPr="008A098C">
        <w:t>Z udziału w postępowaniu wykluczone są podmioty, które naruszyły obowiązki w dziedzinie ochrony środowiska:</w:t>
      </w:r>
    </w:p>
    <w:p w14:paraId="1EDD0FDD" w14:textId="77777777" w:rsidR="00A22EB4" w:rsidRPr="008A098C" w:rsidRDefault="00A22EB4" w:rsidP="000D1186">
      <w:pPr>
        <w:pStyle w:val="Akapitzlist"/>
        <w:numPr>
          <w:ilvl w:val="0"/>
          <w:numId w:val="20"/>
        </w:numPr>
        <w:spacing w:after="160" w:line="259" w:lineRule="auto"/>
        <w:jc w:val="both"/>
      </w:pPr>
      <w:r w:rsidRPr="008A098C">
        <w:t>będące osobą fizyczną skazaną prawomocnie za przestępstwo przeciwko środowisku, o którym mowa w rozdziale XXII Kodeksu karnego lub za odpowiedni czyn zabroniony określony w przepisach prawa obcego</w:t>
      </w:r>
    </w:p>
    <w:p w14:paraId="21B66548" w14:textId="77777777" w:rsidR="00A22EB4" w:rsidRPr="008A098C" w:rsidRDefault="00A22EB4" w:rsidP="000D1186">
      <w:pPr>
        <w:pStyle w:val="Akapitzlist"/>
        <w:numPr>
          <w:ilvl w:val="0"/>
          <w:numId w:val="20"/>
        </w:numPr>
        <w:spacing w:after="160" w:line="259" w:lineRule="auto"/>
        <w:jc w:val="both"/>
      </w:pPr>
      <w:r w:rsidRPr="008A098C">
        <w:t>będące osobą fizyczną prawomocnie ukaraną za wykroczenie przeciwko środowisku, jeżeli za jego popełnienie wymierzono karę aresztu, ograniczenia wolności lub karę grzywny</w:t>
      </w:r>
    </w:p>
    <w:p w14:paraId="6D584662" w14:textId="77777777" w:rsidR="00A22EB4" w:rsidRPr="008A098C" w:rsidRDefault="00A22EB4" w:rsidP="000D1186">
      <w:pPr>
        <w:pStyle w:val="Akapitzlist"/>
        <w:numPr>
          <w:ilvl w:val="0"/>
          <w:numId w:val="20"/>
        </w:numPr>
        <w:spacing w:after="160" w:line="259" w:lineRule="auto"/>
        <w:jc w:val="both"/>
      </w:pPr>
      <w:r w:rsidRPr="008A098C">
        <w:t>wobec których wydano ostateczną decyzję administracyjną o naruszeniu obowiązków wynikających z prawa ochrony środowiska, jeżeli wymierzono tą decyzją karę pieniężną;</w:t>
      </w:r>
    </w:p>
    <w:p w14:paraId="6E910586" w14:textId="77777777" w:rsidR="00A22EB4" w:rsidRPr="008A098C" w:rsidRDefault="00A22EB4" w:rsidP="000D1186">
      <w:pPr>
        <w:pStyle w:val="Akapitzlist"/>
        <w:numPr>
          <w:ilvl w:val="0"/>
          <w:numId w:val="20"/>
        </w:numPr>
        <w:spacing w:after="160" w:line="259" w:lineRule="auto"/>
        <w:jc w:val="both"/>
      </w:pPr>
      <w:r w:rsidRPr="008A098C">
        <w:t>jeżeli urzędującego członka ich organu zarządzającego lub nadzorczego, wspólnika spółki w spółce jawnej lub partnerskiej albo komplementariusza w spółce komandytowej lub komandytowo-akcyjnej lub prokurenta prawomocnie skazano za przestępstwo lub ukarano za wykroczenie, o których mowa powyżej</w:t>
      </w:r>
    </w:p>
    <w:p w14:paraId="33C57235" w14:textId="5F4B362F" w:rsidR="00A22EB4" w:rsidRDefault="00A22EB4" w:rsidP="006159AE">
      <w:pPr>
        <w:jc w:val="both"/>
      </w:pPr>
      <w:r w:rsidRPr="008A098C">
        <w:rPr>
          <w:rFonts w:cs="Arial"/>
        </w:rPr>
        <w:t xml:space="preserve">Wykluczenie nie </w:t>
      </w:r>
      <w:r>
        <w:rPr>
          <w:rFonts w:cs="Arial"/>
        </w:rPr>
        <w:t>obowiązuje</w:t>
      </w:r>
      <w:r w:rsidRPr="008A098C">
        <w:rPr>
          <w:rFonts w:cs="Arial"/>
        </w:rPr>
        <w:t xml:space="preserve"> jeśli upłynęły</w:t>
      </w:r>
      <w:r w:rsidRPr="008A098C">
        <w:t xml:space="preserve"> 3 lata od dnia uprawomocnienia się odpowiednio wyroku potwierdzającego zaistnienie jednej z podstaw wykluczenia wskazanych powyżej</w:t>
      </w:r>
      <w:r w:rsidR="006159AE">
        <w:t xml:space="preserve"> w punktach a-d</w:t>
      </w:r>
      <w:r w:rsidRPr="008A098C">
        <w:t>, wydania ostatecznej decyzji lub zaistnienia zdarzenia będącego podstawą wykluczenia, chyba że w wyroku lub decyzji został określony inny okres wykluczenia</w:t>
      </w:r>
    </w:p>
    <w:p w14:paraId="26A460B7" w14:textId="05A505B2" w:rsidR="00114DB9" w:rsidRDefault="006E392C" w:rsidP="005E0022">
      <w:pPr>
        <w:spacing w:after="0"/>
        <w:jc w:val="both"/>
      </w:pPr>
      <w:r>
        <w:t xml:space="preserve">Z </w:t>
      </w:r>
      <w:r w:rsidR="005E0022">
        <w:t>udziału w postępowaniu wykluczone są równie podmioty, o których mowa w art. 7 ust. 1 ustawy z dnia 13 kwietnia 2022 r. o szczególnych rozwiązaniach w zakresie przeciwdziałania wspieraniu agresji na Ukrainę oraz służących ochronie bezpieczeństwa narodowego (Dz. U. poz. 835)</w:t>
      </w:r>
    </w:p>
    <w:p w14:paraId="2871A033" w14:textId="77777777" w:rsidR="005E0022" w:rsidRDefault="005E0022" w:rsidP="005E0022">
      <w:pPr>
        <w:spacing w:after="0"/>
        <w:jc w:val="both"/>
      </w:pPr>
    </w:p>
    <w:p w14:paraId="03DF0FCD" w14:textId="77777777" w:rsidR="006159AE" w:rsidRDefault="006159AE" w:rsidP="006159AE">
      <w:pPr>
        <w:spacing w:after="0"/>
        <w:jc w:val="both"/>
      </w:pPr>
      <w:r>
        <w:t>Oferta złożona przez Oferenta, który podlega wykluczeniu, zostaje odrzucona ze względu na niespełnienie wymagań.</w:t>
      </w:r>
    </w:p>
    <w:p w14:paraId="1F4461C7" w14:textId="77777777" w:rsidR="006159AE" w:rsidRDefault="006159AE" w:rsidP="005E0022">
      <w:pPr>
        <w:spacing w:after="0"/>
        <w:jc w:val="both"/>
      </w:pPr>
    </w:p>
    <w:p w14:paraId="5F441A54" w14:textId="0A512785" w:rsidR="0092304D" w:rsidRPr="002D2DE8" w:rsidRDefault="0092304D" w:rsidP="002D2DE8">
      <w:pPr>
        <w:rPr>
          <w:b/>
        </w:rPr>
      </w:pPr>
      <w:r w:rsidRPr="00812503">
        <w:rPr>
          <w:b/>
        </w:rPr>
        <w:t>Kryteria oceny</w:t>
      </w:r>
      <w:r>
        <w:rPr>
          <w:b/>
        </w:rPr>
        <w:t xml:space="preserve"> ofert</w:t>
      </w:r>
      <w:r w:rsidRPr="00812503">
        <w:rPr>
          <w:b/>
        </w:rPr>
        <w:t xml:space="preserve"> i opis sposobu przyznawania punktacji</w:t>
      </w:r>
      <w:r>
        <w:rPr>
          <w:b/>
        </w:rPr>
        <w:t xml:space="preserve"> (max. 300 znaków na każde kryterium)</w:t>
      </w:r>
    </w:p>
    <w:p w14:paraId="52B2E27C" w14:textId="694646BC" w:rsidR="0092304D" w:rsidRDefault="0092304D" w:rsidP="0092304D">
      <w:pPr>
        <w:spacing w:after="0"/>
        <w:jc w:val="both"/>
      </w:pPr>
      <w:r>
        <w:t xml:space="preserve">Cena netto (waga: </w:t>
      </w:r>
      <w:r w:rsidR="002D2DE8">
        <w:t>4</w:t>
      </w:r>
      <w:r>
        <w:t>0 %)</w:t>
      </w:r>
    </w:p>
    <w:p w14:paraId="33A79686" w14:textId="77777777" w:rsidR="0092304D" w:rsidRDefault="0092304D" w:rsidP="0092304D">
      <w:pPr>
        <w:spacing w:after="0"/>
        <w:jc w:val="both"/>
      </w:pPr>
      <w:bookmarkStart w:id="2" w:name="_Hlk56413849"/>
      <w:r>
        <w:t>Cena najniższa</w:t>
      </w:r>
      <w:r w:rsidRPr="008B1966">
        <w:t>/</w:t>
      </w:r>
      <w:r>
        <w:t>Cena</w:t>
      </w:r>
      <w:r w:rsidRPr="008B1966">
        <w:t xml:space="preserve"> badanej oferty x waga x 100 pkt</w:t>
      </w:r>
    </w:p>
    <w:bookmarkEnd w:id="2"/>
    <w:p w14:paraId="3F46669A" w14:textId="77777777" w:rsidR="0092304D" w:rsidRDefault="0092304D" w:rsidP="0092304D">
      <w:pPr>
        <w:spacing w:after="0"/>
        <w:jc w:val="both"/>
      </w:pPr>
      <w:r>
        <w:t>W przypadku, gdy oferent poda cenę w walucie obcej, zostanie ona przeliczona na polskie złote po średnim kursie NBP z dnia publikacji zapytania ofertowego.</w:t>
      </w:r>
    </w:p>
    <w:p w14:paraId="0ADAE635" w14:textId="77777777" w:rsidR="0092304D" w:rsidRDefault="0092304D" w:rsidP="0092304D">
      <w:pPr>
        <w:spacing w:after="0"/>
        <w:jc w:val="both"/>
      </w:pPr>
    </w:p>
    <w:p w14:paraId="0ABE44F1" w14:textId="698568AA" w:rsidR="0092304D" w:rsidRDefault="00314F40" w:rsidP="0092304D">
      <w:pPr>
        <w:spacing w:after="0"/>
        <w:jc w:val="both"/>
      </w:pPr>
      <w:r>
        <w:t>Prędkość maszyny w m/min dla gramatury</w:t>
      </w:r>
      <w:r w:rsidR="00FB015E">
        <w:t xml:space="preserve"> </w:t>
      </w:r>
      <w:r w:rsidR="00FB015E" w:rsidRPr="00FB015E">
        <w:t>21g/m2</w:t>
      </w:r>
      <w:r w:rsidR="0092304D">
        <w:t xml:space="preserve"> (waga: </w:t>
      </w:r>
      <w:r w:rsidR="00FB015E">
        <w:t>2</w:t>
      </w:r>
      <w:r w:rsidR="0092304D">
        <w:t>0 %)</w:t>
      </w:r>
    </w:p>
    <w:p w14:paraId="4067822E" w14:textId="621694F3" w:rsidR="0092304D" w:rsidRDefault="00FB015E" w:rsidP="0092304D">
      <w:pPr>
        <w:spacing w:after="0"/>
        <w:jc w:val="both"/>
      </w:pPr>
      <w:r>
        <w:t>Prędkość</w:t>
      </w:r>
      <w:r w:rsidR="0092304D">
        <w:t xml:space="preserve"> badanej oferty/Naj</w:t>
      </w:r>
      <w:r>
        <w:t xml:space="preserve">większa prędkość ze złożonych ofert </w:t>
      </w:r>
      <w:r w:rsidR="0092304D">
        <w:t>x waga x 100 pkt</w:t>
      </w:r>
    </w:p>
    <w:p w14:paraId="253B034F" w14:textId="4BC60738" w:rsidR="00A34E72" w:rsidRDefault="00A34E72" w:rsidP="0092304D">
      <w:pPr>
        <w:spacing w:after="0"/>
        <w:jc w:val="both"/>
      </w:pPr>
      <w:r>
        <w:t>Minimalna wymagana prędkość: 1400 m</w:t>
      </w:r>
      <w:r w:rsidR="00FC08C0">
        <w:t>/min</w:t>
      </w:r>
      <w:r>
        <w:t xml:space="preserve"> </w:t>
      </w:r>
    </w:p>
    <w:p w14:paraId="59177286" w14:textId="77777777" w:rsidR="0092304D" w:rsidRDefault="0092304D" w:rsidP="0092304D">
      <w:pPr>
        <w:spacing w:after="0"/>
        <w:jc w:val="both"/>
      </w:pPr>
    </w:p>
    <w:p w14:paraId="5F533B0C" w14:textId="01BB80A3" w:rsidR="001E52CF" w:rsidRDefault="001E52CF" w:rsidP="001E52CF">
      <w:pPr>
        <w:spacing w:after="0"/>
        <w:jc w:val="both"/>
      </w:pPr>
      <w:r>
        <w:lastRenderedPageBreak/>
        <w:t>Szerokość wstęgi na nawijarce (waga: 20 %)</w:t>
      </w:r>
    </w:p>
    <w:p w14:paraId="170D2AEE" w14:textId="1F3ABDA5" w:rsidR="001E52CF" w:rsidRDefault="001E52CF" w:rsidP="001E52CF">
      <w:pPr>
        <w:spacing w:after="0"/>
        <w:jc w:val="both"/>
      </w:pPr>
      <w:r>
        <w:t xml:space="preserve">Szerokość w przedziale </w:t>
      </w:r>
      <w:r w:rsidR="0025678A">
        <w:t>od 2750 mm do 2899 mm – 0 pkt</w:t>
      </w:r>
    </w:p>
    <w:p w14:paraId="00C1FA98" w14:textId="18B792AF" w:rsidR="0025678A" w:rsidRDefault="0025678A" w:rsidP="001E52CF">
      <w:pPr>
        <w:spacing w:after="0"/>
        <w:jc w:val="both"/>
      </w:pPr>
      <w:r>
        <w:t>Szerokość 2900 mm i więcej – 20 pkt</w:t>
      </w:r>
    </w:p>
    <w:p w14:paraId="7D960FED" w14:textId="5C635959" w:rsidR="0092304D" w:rsidRDefault="00AD5B73" w:rsidP="0092304D">
      <w:pPr>
        <w:spacing w:after="0"/>
        <w:jc w:val="both"/>
      </w:pPr>
      <w:r>
        <w:t xml:space="preserve">Minimalna wymagana </w:t>
      </w:r>
      <w:r w:rsidR="00A34E72">
        <w:t>szerokość wstęgi na nawijarce: 2750 mm</w:t>
      </w:r>
    </w:p>
    <w:p w14:paraId="414D0165" w14:textId="77777777" w:rsidR="00AD5B73" w:rsidRDefault="00AD5B73" w:rsidP="0092304D">
      <w:pPr>
        <w:spacing w:after="0"/>
        <w:jc w:val="both"/>
      </w:pPr>
    </w:p>
    <w:p w14:paraId="2FBFFC80" w14:textId="19C81D9C" w:rsidR="00B07167" w:rsidRDefault="00B07167" w:rsidP="00B07167">
      <w:pPr>
        <w:spacing w:after="0"/>
        <w:jc w:val="both"/>
      </w:pPr>
      <w:r>
        <w:t>Średnica cylindra Yankee w mm (waga: 20 %)</w:t>
      </w:r>
    </w:p>
    <w:p w14:paraId="73467F95" w14:textId="7FE0B26A" w:rsidR="00B07167" w:rsidRDefault="00B07167" w:rsidP="00B07167">
      <w:pPr>
        <w:spacing w:after="0"/>
        <w:jc w:val="both"/>
      </w:pPr>
      <w:r>
        <w:t>Średnica badanej oferty/Największa średnica ze złożonych ofert x waga x 100 pkt</w:t>
      </w:r>
    </w:p>
    <w:p w14:paraId="5FBFB478" w14:textId="585787F7" w:rsidR="00AE1205" w:rsidRDefault="00AE1205" w:rsidP="00B07167">
      <w:pPr>
        <w:spacing w:after="0"/>
        <w:jc w:val="both"/>
      </w:pPr>
      <w:r>
        <w:t>Minimalna wymagana średnica cylindra: 4880 mm</w:t>
      </w:r>
    </w:p>
    <w:p w14:paraId="561DF17B" w14:textId="77777777" w:rsidR="00AF3EEB" w:rsidRDefault="00AF3EEB" w:rsidP="003D2E13">
      <w:pPr>
        <w:spacing w:after="0"/>
        <w:jc w:val="both"/>
      </w:pPr>
    </w:p>
    <w:p w14:paraId="3A780A9A" w14:textId="6B5C7C6A" w:rsidR="009D17CD" w:rsidRDefault="00A867F7" w:rsidP="003D2E13">
      <w:pPr>
        <w:spacing w:after="0"/>
        <w:jc w:val="both"/>
        <w:rPr>
          <w:b/>
        </w:rPr>
      </w:pPr>
      <w:r w:rsidRPr="00F11EB2">
        <w:rPr>
          <w:b/>
        </w:rPr>
        <w:t>Warunki zmiany umowy</w:t>
      </w:r>
    </w:p>
    <w:p w14:paraId="7A68066C" w14:textId="77777777" w:rsidR="00E05B33" w:rsidRPr="003D2E13" w:rsidRDefault="00E05B33" w:rsidP="003D2E13">
      <w:pPr>
        <w:spacing w:after="0"/>
        <w:jc w:val="both"/>
      </w:pPr>
    </w:p>
    <w:p w14:paraId="2A3B8A04" w14:textId="6E853544" w:rsidR="009D17CD" w:rsidRPr="00812503" w:rsidRDefault="009D17CD" w:rsidP="00812503">
      <w:pPr>
        <w:pBdr>
          <w:top w:val="nil"/>
          <w:left w:val="nil"/>
          <w:bottom w:val="nil"/>
          <w:right w:val="nil"/>
          <w:between w:val="nil"/>
          <w:bar w:val="nil"/>
        </w:pBdr>
        <w:suppressAutoHyphens/>
        <w:spacing w:after="120"/>
        <w:jc w:val="both"/>
        <w:rPr>
          <w:rFonts w:ascii="Calibri" w:eastAsia="Calibri" w:hAnsi="Calibri" w:cs="Calibri"/>
          <w:color w:val="000000"/>
          <w:kern w:val="3"/>
          <w:u w:color="000000"/>
          <w:bdr w:val="nil"/>
          <w:lang w:eastAsia="pl-PL"/>
        </w:rPr>
      </w:pPr>
      <w:r w:rsidRPr="00812503">
        <w:rPr>
          <w:rFonts w:ascii="Calibri" w:eastAsia="Corbel" w:hAnsi="Calibri" w:cs="Corbel"/>
          <w:color w:val="000000"/>
          <w:kern w:val="3"/>
          <w:u w:color="000000"/>
          <w:bdr w:val="nil"/>
          <w:lang w:eastAsia="pl-PL"/>
        </w:rPr>
        <w:t>Zamawiający przewiduje możliwość wprowadzenia istotnych zmian w treści umowy w sprawie</w:t>
      </w:r>
      <w:r w:rsidR="00812503" w:rsidRPr="00812503">
        <w:rPr>
          <w:rFonts w:ascii="Calibri" w:eastAsia="Corbel" w:hAnsi="Calibri" w:cs="Corbel"/>
          <w:color w:val="000000"/>
          <w:kern w:val="3"/>
          <w:u w:color="000000"/>
          <w:bdr w:val="nil"/>
          <w:lang w:eastAsia="pl-PL"/>
        </w:rPr>
        <w:t xml:space="preserve"> </w:t>
      </w:r>
      <w:r w:rsidRPr="00812503">
        <w:rPr>
          <w:rFonts w:ascii="Calibri" w:eastAsia="Corbel" w:hAnsi="Calibri" w:cs="Corbel"/>
          <w:color w:val="000000"/>
          <w:kern w:val="3"/>
          <w:u w:color="000000"/>
          <w:bdr w:val="nil"/>
          <w:lang w:eastAsia="pl-PL"/>
        </w:rPr>
        <w:t>zamówienia na następujących warunkach:</w:t>
      </w:r>
    </w:p>
    <w:p w14:paraId="492A8DA6" w14:textId="77777777" w:rsidR="009D17CD"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9D17CD">
        <w:rPr>
          <w:rFonts w:ascii="Calibri" w:eastAsia="Calibri" w:hAnsi="Calibri" w:cs="Calibri"/>
          <w:color w:val="000000"/>
          <w:kern w:val="3"/>
          <w:u w:color="000000"/>
          <w:bdr w:val="nil"/>
          <w:lang w:eastAsia="pl-PL"/>
        </w:rPr>
        <w:t xml:space="preserve">przesunięcia terminu wykonania przedmiotu zamówienia wraz ze skutkami wprowadzenia takiej zmiany, jeżeli z przyczyn, których nie można było przewidzieć w chwili zawarcia umowy w sprawie zamówienia, nie jest możliwe dotrzymanie pierwotnego terminu wykonania przedmiotu zamówienia; </w:t>
      </w:r>
    </w:p>
    <w:p w14:paraId="0088FD1D" w14:textId="77777777" w:rsidR="009D17CD" w:rsidRPr="009D17CD"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9D17CD">
        <w:rPr>
          <w:rFonts w:ascii="Calibri" w:eastAsia="Corbel" w:hAnsi="Calibri" w:cs="Corbel"/>
          <w:color w:val="000000"/>
          <w:kern w:val="3"/>
          <w:u w:color="000000"/>
          <w:bdr w:val="nil"/>
          <w:lang w:eastAsia="pl-PL"/>
        </w:rPr>
        <w:t>przesunięcia terminu wykonania przedmiotu zamówienia z przyczyn leżących</w:t>
      </w:r>
      <w:r w:rsidRPr="009D17CD">
        <w:rPr>
          <w:rFonts w:ascii="Calibri" w:eastAsia="Corbel" w:hAnsi="Calibri" w:cs="Corbel"/>
          <w:color w:val="000000"/>
          <w:kern w:val="3"/>
          <w:u w:color="000000"/>
          <w:bdr w:val="nil"/>
          <w:lang w:eastAsia="pl-PL"/>
        </w:rPr>
        <w:br/>
        <w:t xml:space="preserve">po stronie Zamawiającego </w:t>
      </w:r>
      <w:r w:rsidRPr="009D17CD">
        <w:rPr>
          <w:rFonts w:ascii="Calibri" w:eastAsia="Calibri" w:hAnsi="Calibri" w:cs="Calibri"/>
          <w:color w:val="000000"/>
          <w:kern w:val="3"/>
          <w:u w:color="000000"/>
          <w:bdr w:val="nil"/>
          <w:lang w:eastAsia="pl-PL"/>
        </w:rPr>
        <w:t>wraz ze skutkami wprowadzenia takiej zmiany</w:t>
      </w:r>
      <w:r>
        <w:rPr>
          <w:rFonts w:ascii="Calibri" w:eastAsia="Corbel" w:hAnsi="Calibri" w:cs="Corbel"/>
          <w:color w:val="000000"/>
          <w:kern w:val="3"/>
          <w:u w:color="000000"/>
          <w:bdr w:val="nil"/>
          <w:lang w:eastAsia="pl-PL"/>
        </w:rPr>
        <w:t>;</w:t>
      </w:r>
    </w:p>
    <w:p w14:paraId="2262F2EA" w14:textId="77777777" w:rsidR="009D17CD"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190FBC">
        <w:rPr>
          <w:rFonts w:ascii="Calibri" w:eastAsia="Corbel" w:hAnsi="Calibri" w:cs="Corbel"/>
          <w:color w:val="000000"/>
          <w:kern w:val="3"/>
          <w:u w:color="000000"/>
          <w:bdr w:val="nil"/>
          <w:lang w:eastAsia="pl-PL"/>
        </w:rPr>
        <w:t>gdy zaistnieją nieprzewidziane okoliczności, tzn. okoliczności, których przy zachowaniu należytej staranności nie można było przewidzieć, zmiany będą konieczne, gdyż bez ich dokonania świadczenie wchodzące w zakres przedmiotu zamówienia nie będzie mogło być zrealizowane, bądź nie będzie mógł zostać osiągnięty cel, dla którego miało być wykonywane; w takim przypadku Zamawiający i wykonawca mogą określić zmieniony sposób osiągnięcia rezultatu będącego przedmiotem danego świadczenia;</w:t>
      </w:r>
    </w:p>
    <w:p w14:paraId="490DC962" w14:textId="77777777" w:rsidR="009D17CD" w:rsidRPr="007A0625"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190FBC">
        <w:rPr>
          <w:rFonts w:ascii="Calibri" w:eastAsia="Corbel" w:hAnsi="Calibri" w:cs="Corbel"/>
          <w:color w:val="000000"/>
          <w:kern w:val="3"/>
          <w:u w:color="000000"/>
          <w:bdr w:val="nil"/>
          <w:lang w:eastAsia="pl-PL"/>
        </w:rPr>
        <w:t xml:space="preserve">w sytuacji, gdy rezultat będący przedmiotem danego świadczenia wchodzącego </w:t>
      </w:r>
      <w:r>
        <w:rPr>
          <w:rFonts w:ascii="Calibri" w:eastAsia="Corbel" w:hAnsi="Calibri" w:cs="Corbel"/>
          <w:color w:val="000000"/>
          <w:kern w:val="3"/>
          <w:u w:color="000000"/>
          <w:bdr w:val="nil"/>
          <w:lang w:eastAsia="pl-PL"/>
        </w:rPr>
        <w:br/>
      </w:r>
      <w:r w:rsidRPr="00190FBC">
        <w:rPr>
          <w:rFonts w:ascii="Calibri" w:eastAsia="Corbel" w:hAnsi="Calibri" w:cs="Corbel"/>
          <w:color w:val="000000"/>
          <w:kern w:val="3"/>
          <w:u w:color="000000"/>
          <w:bdr w:val="nil"/>
          <w:lang w:eastAsia="pl-PL"/>
        </w:rPr>
        <w:t>w zakres przedmiotu zamówienia będzie mógł być wykonany szybciej, bardziej efektywnie, mniejszym nakładem sił i środków bądź przy zastosowaniu rozwiązań korzystniejszych dla Zamawiającego z punktu widzenia kosztów wykonania przedmiotu zamówienia, kosztów eksploatacji, niezawodności w okresie eksploatacji lub możliwości rozwoju; w takim przypadku Zamawiający i wykonawca mogą określić zmieniony sposób osiągnięcia rezultatu będącego przedmiotem danego świadczenia;</w:t>
      </w:r>
    </w:p>
    <w:p w14:paraId="7F233C8A" w14:textId="77777777" w:rsidR="007A0625" w:rsidRPr="007A0625" w:rsidRDefault="007A0625" w:rsidP="007A0625">
      <w:pPr>
        <w:numPr>
          <w:ilvl w:val="1"/>
          <w:numId w:val="13"/>
        </w:numPr>
        <w:pBdr>
          <w:top w:val="nil"/>
          <w:left w:val="nil"/>
          <w:bottom w:val="nil"/>
          <w:right w:val="nil"/>
          <w:between w:val="nil"/>
          <w:bar w:val="nil"/>
        </w:pBdr>
        <w:suppressAutoHyphens/>
        <w:spacing w:after="120"/>
        <w:ind w:left="993" w:hanging="425"/>
        <w:jc w:val="both"/>
        <w:rPr>
          <w:rFonts w:ascii="Calibri" w:eastAsia="Corbel" w:hAnsi="Calibri" w:cs="Corbel"/>
          <w:color w:val="000000"/>
          <w:kern w:val="3"/>
          <w:u w:color="000000"/>
          <w:bdr w:val="nil"/>
          <w:lang w:eastAsia="pl-PL"/>
        </w:rPr>
      </w:pPr>
      <w:r w:rsidRPr="007A0625">
        <w:rPr>
          <w:rFonts w:ascii="Calibri" w:eastAsia="Corbel" w:hAnsi="Calibri" w:cs="Corbel"/>
          <w:color w:val="000000"/>
          <w:kern w:val="3"/>
          <w:u w:color="000000"/>
          <w:bdr w:val="nil"/>
          <w:lang w:eastAsia="pl-PL"/>
        </w:rPr>
        <w:t xml:space="preserve">zmniejszenia zakresu dostaw/prac będących przedmiotem niniejszego zapytania ofertowego. </w:t>
      </w:r>
      <w:bookmarkStart w:id="3" w:name="_Hlk50455370"/>
      <w:r w:rsidRPr="007A0625">
        <w:rPr>
          <w:rFonts w:ascii="Calibri" w:eastAsia="Corbel" w:hAnsi="Calibri" w:cs="Corbel"/>
          <w:color w:val="000000"/>
          <w:kern w:val="3"/>
          <w:u w:color="000000"/>
          <w:bdr w:val="nil"/>
          <w:lang w:eastAsia="pl-PL"/>
        </w:rPr>
        <w:t>W takim przypadku wynagrodzenie wykonawcy zostanie stosownie zmniejszone na podstawie przygotowanej przez Wykonawcę i zaakceptowanej przez Zamawiającego rzetelnej wyceny prac/dostaw zaniechanych. Łączna wartość zmian nie może przekroczyć 10% wartości zamówienia określonej pierwotnie w umowie;</w:t>
      </w:r>
      <w:bookmarkEnd w:id="3"/>
    </w:p>
    <w:p w14:paraId="05D664D6" w14:textId="77777777" w:rsidR="007A0625" w:rsidRPr="007A0625" w:rsidRDefault="007A0625" w:rsidP="007A0625">
      <w:pPr>
        <w:numPr>
          <w:ilvl w:val="1"/>
          <w:numId w:val="13"/>
        </w:numPr>
        <w:pBdr>
          <w:top w:val="nil"/>
          <w:left w:val="nil"/>
          <w:bottom w:val="nil"/>
          <w:right w:val="nil"/>
          <w:between w:val="nil"/>
          <w:bar w:val="nil"/>
        </w:pBdr>
        <w:suppressAutoHyphens/>
        <w:spacing w:after="120"/>
        <w:ind w:left="993" w:hanging="425"/>
        <w:jc w:val="both"/>
        <w:rPr>
          <w:rFonts w:ascii="Calibri" w:eastAsia="Corbel" w:hAnsi="Calibri" w:cs="Corbel"/>
          <w:color w:val="000000"/>
          <w:kern w:val="3"/>
          <w:u w:color="000000"/>
          <w:bdr w:val="nil"/>
          <w:lang w:eastAsia="pl-PL"/>
        </w:rPr>
      </w:pPr>
      <w:r w:rsidRPr="007A0625">
        <w:rPr>
          <w:rFonts w:ascii="Calibri" w:eastAsia="Corbel" w:hAnsi="Calibri" w:cs="Corbel"/>
          <w:color w:val="000000"/>
          <w:kern w:val="3"/>
          <w:u w:color="000000"/>
          <w:bdr w:val="nil"/>
          <w:lang w:eastAsia="pl-PL"/>
        </w:rPr>
        <w:t xml:space="preserve">realizacji dostaw/prac dodatkowych, które nie zostały przewidziane w zapytaniu ofertowym. </w:t>
      </w:r>
      <w:bookmarkStart w:id="4" w:name="_Hlk50456431"/>
      <w:r w:rsidRPr="007A0625">
        <w:rPr>
          <w:rFonts w:ascii="Calibri" w:eastAsia="Corbel" w:hAnsi="Calibri" w:cs="Corbel"/>
          <w:color w:val="000000"/>
          <w:kern w:val="3"/>
          <w:u w:color="000000"/>
          <w:bdr w:val="nil"/>
          <w:lang w:eastAsia="pl-PL"/>
        </w:rPr>
        <w:t>W takim przypadku wynagrodzenie wykonawcy zostanie stosownie zwiększone na podstawie przygotowanej przez Wykonawcę i zaakceptowanej przez Zamawiającego rzetelnej wyceny dostaw/prac dodatkowych. Łączna wartość zmian nie może przekroczyć 10% wartości zamówienia określonej pierwotnie w umowie</w:t>
      </w:r>
      <w:bookmarkEnd w:id="4"/>
      <w:r w:rsidRPr="007A0625">
        <w:rPr>
          <w:rFonts w:ascii="Calibri" w:eastAsia="Corbel" w:hAnsi="Calibri" w:cs="Corbel"/>
          <w:color w:val="000000"/>
          <w:kern w:val="3"/>
          <w:u w:color="000000"/>
          <w:bdr w:val="nil"/>
          <w:lang w:eastAsia="pl-PL"/>
        </w:rPr>
        <w:t>;</w:t>
      </w:r>
    </w:p>
    <w:p w14:paraId="561398A7" w14:textId="3A77B514" w:rsidR="007A0625" w:rsidRPr="007A0625" w:rsidRDefault="007A0625" w:rsidP="007A0625">
      <w:pPr>
        <w:numPr>
          <w:ilvl w:val="1"/>
          <w:numId w:val="13"/>
        </w:numPr>
        <w:pBdr>
          <w:top w:val="nil"/>
          <w:left w:val="nil"/>
          <w:bottom w:val="nil"/>
          <w:right w:val="nil"/>
          <w:between w:val="nil"/>
          <w:bar w:val="nil"/>
        </w:pBdr>
        <w:suppressAutoHyphens/>
        <w:spacing w:after="120"/>
        <w:ind w:left="993" w:hanging="425"/>
        <w:jc w:val="both"/>
        <w:rPr>
          <w:rFonts w:ascii="Calibri" w:eastAsia="Corbel" w:hAnsi="Calibri" w:cs="Corbel"/>
          <w:color w:val="000000"/>
          <w:kern w:val="3"/>
          <w:u w:color="000000"/>
          <w:bdr w:val="nil"/>
          <w:lang w:eastAsia="pl-PL"/>
        </w:rPr>
      </w:pPr>
      <w:r w:rsidRPr="007A0625">
        <w:rPr>
          <w:rFonts w:ascii="Calibri" w:eastAsia="Corbel" w:hAnsi="Calibri" w:cs="Corbel"/>
          <w:color w:val="000000"/>
          <w:kern w:val="3"/>
          <w:u w:color="000000"/>
          <w:bdr w:val="nil"/>
          <w:lang w:eastAsia="pl-PL"/>
        </w:rPr>
        <w:t xml:space="preserve">realizacji dostaw/prac zamiennych tj. wykonanych inaczej niż to opisano w zapytaniu ofertowym, według odmiennej technologii lub przy użyciu innych materiałów, urządzeń stanowiących wyposażenie o tej samej funkcji, lecz korzystniejszych warunkach </w:t>
      </w:r>
      <w:r w:rsidRPr="007A0625">
        <w:rPr>
          <w:rFonts w:ascii="Calibri" w:eastAsia="Corbel" w:hAnsi="Calibri" w:cs="Corbel"/>
          <w:color w:val="000000"/>
          <w:kern w:val="3"/>
          <w:u w:color="000000"/>
          <w:bdr w:val="nil"/>
          <w:lang w:eastAsia="pl-PL"/>
        </w:rPr>
        <w:lastRenderedPageBreak/>
        <w:t>eksploatacyjnych (np. mniejszym zużyciu energii). W takim przypadku wynagrodzenie wykonawcy może zostać zmniejszone bądź zwiększone na podstawie przygotowanej przez Wykonawcę i zaakceptowanej przez Zamawiającego rzetelnej wyceny porównawczej dostaw/prac pierwotnych i zamiennych. Łączna wartość zmian nie może przekroczyć 10% wartości zamówienia określonej pierwotnie w umowie;</w:t>
      </w:r>
    </w:p>
    <w:p w14:paraId="0C5FD32C" w14:textId="77777777" w:rsidR="009D17CD"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190FBC">
        <w:rPr>
          <w:rFonts w:ascii="Calibri" w:eastAsia="Corbel" w:hAnsi="Calibri" w:cs="Corbel"/>
          <w:color w:val="000000"/>
          <w:kern w:val="3"/>
          <w:u w:color="000000"/>
          <w:bdr w:val="nil"/>
          <w:lang w:eastAsia="pl-PL"/>
        </w:rPr>
        <w:t xml:space="preserve">wprowadzenia lub zmiany regulacji prawnych lub regulacji dotyczących zasad dofinansowania projektu ze środków Unii Europejskiej wprowadzonych w życie po dniu zawarcia umowy w sprawie zamówienia; w takim przypadku Zamawiający </w:t>
      </w:r>
      <w:r>
        <w:rPr>
          <w:rFonts w:ascii="Calibri" w:eastAsia="Corbel" w:hAnsi="Calibri" w:cs="Corbel"/>
          <w:color w:val="000000"/>
          <w:kern w:val="3"/>
          <w:u w:color="000000"/>
          <w:bdr w:val="nil"/>
          <w:lang w:eastAsia="pl-PL"/>
        </w:rPr>
        <w:br/>
      </w:r>
      <w:r w:rsidRPr="00190FBC">
        <w:rPr>
          <w:rFonts w:ascii="Calibri" w:eastAsia="Corbel" w:hAnsi="Calibri" w:cs="Corbel"/>
          <w:color w:val="000000"/>
          <w:kern w:val="3"/>
          <w:u w:color="000000"/>
          <w:bdr w:val="nil"/>
          <w:lang w:eastAsia="pl-PL"/>
        </w:rPr>
        <w:t>i wykonawca mogą określić zmieniony sposób osiągnięcia rezultatu będącego przedmiotem danego świadczenia wchodzącego w zakres przedmiotu zamówienia celem dostosowania go do zmienionego stanu prawnego;</w:t>
      </w:r>
    </w:p>
    <w:p w14:paraId="5334EAF7" w14:textId="77777777" w:rsidR="009D17CD" w:rsidRPr="00190FBC" w:rsidRDefault="009D17CD" w:rsidP="009D17CD">
      <w:pPr>
        <w:numPr>
          <w:ilvl w:val="1"/>
          <w:numId w:val="13"/>
        </w:numPr>
        <w:pBdr>
          <w:top w:val="nil"/>
          <w:left w:val="nil"/>
          <w:bottom w:val="nil"/>
          <w:right w:val="nil"/>
          <w:between w:val="nil"/>
          <w:bar w:val="nil"/>
        </w:pBdr>
        <w:suppressAutoHyphens/>
        <w:spacing w:after="120"/>
        <w:ind w:left="993" w:hanging="425"/>
        <w:jc w:val="both"/>
        <w:rPr>
          <w:rFonts w:ascii="Calibri" w:eastAsia="Calibri" w:hAnsi="Calibri" w:cs="Calibri"/>
          <w:color w:val="000000"/>
          <w:kern w:val="3"/>
          <w:u w:color="000000"/>
          <w:bdr w:val="nil"/>
          <w:lang w:eastAsia="pl-PL"/>
        </w:rPr>
      </w:pPr>
      <w:r w:rsidRPr="00190FBC">
        <w:rPr>
          <w:rFonts w:ascii="Calibri" w:eastAsia="Corbel" w:hAnsi="Calibri" w:cs="Corbel"/>
          <w:color w:val="000000"/>
          <w:kern w:val="3"/>
          <w:u w:color="000000"/>
          <w:bdr w:val="nil"/>
          <w:lang w:eastAsia="pl-PL"/>
        </w:rPr>
        <w:t>zaistnienia, po zawarciu umowy w sprawie zamówienia, przypadku siły wyższej, przez którą, na potrzeby niniejszego warunku, rozumieć należy jako zdarzenie zewnętrzne wobec łączącego Zamawiającego i wykonawcę stosunku prawnego:</w:t>
      </w:r>
    </w:p>
    <w:p w14:paraId="3026F779" w14:textId="55D6F24C" w:rsidR="009D17CD" w:rsidRPr="004422EB" w:rsidRDefault="00F11EB2" w:rsidP="00F11EB2">
      <w:pPr>
        <w:pBdr>
          <w:top w:val="nil"/>
          <w:left w:val="nil"/>
          <w:bottom w:val="nil"/>
          <w:right w:val="nil"/>
          <w:between w:val="nil"/>
          <w:bar w:val="nil"/>
        </w:pBdr>
        <w:suppressAutoHyphens/>
        <w:spacing w:after="120"/>
        <w:ind w:left="993"/>
        <w:jc w:val="both"/>
        <w:rPr>
          <w:rFonts w:ascii="Calibri" w:eastAsia="Calibri" w:hAnsi="Calibri" w:cs="Calibri"/>
          <w:color w:val="000000"/>
          <w:kern w:val="3"/>
          <w:u w:color="000000"/>
          <w:bdr w:val="nil"/>
          <w:lang w:eastAsia="pl-PL"/>
        </w:rPr>
      </w:pPr>
      <w:r>
        <w:rPr>
          <w:rFonts w:ascii="Calibri" w:eastAsia="Corbel" w:hAnsi="Calibri" w:cs="Corbel"/>
          <w:color w:val="000000"/>
          <w:kern w:val="3"/>
          <w:u w:color="000000"/>
          <w:bdr w:val="nil"/>
          <w:lang w:eastAsia="pl-PL"/>
        </w:rPr>
        <w:t xml:space="preserve">- </w:t>
      </w:r>
      <w:r w:rsidR="009D17CD" w:rsidRPr="004422EB">
        <w:rPr>
          <w:rFonts w:ascii="Calibri" w:eastAsia="Corbel" w:hAnsi="Calibri" w:cs="Corbel"/>
          <w:color w:val="000000"/>
          <w:kern w:val="3"/>
          <w:u w:color="000000"/>
          <w:bdr w:val="nil"/>
          <w:lang w:eastAsia="pl-PL"/>
        </w:rPr>
        <w:t>charakterze od nich niezależnym,</w:t>
      </w:r>
    </w:p>
    <w:p w14:paraId="61F0AC74" w14:textId="303D1A64" w:rsidR="009D17CD" w:rsidRPr="004422EB" w:rsidRDefault="00F11EB2" w:rsidP="00F11EB2">
      <w:pPr>
        <w:pBdr>
          <w:top w:val="nil"/>
          <w:left w:val="nil"/>
          <w:bottom w:val="nil"/>
          <w:right w:val="nil"/>
          <w:between w:val="nil"/>
          <w:bar w:val="nil"/>
        </w:pBdr>
        <w:suppressAutoHyphens/>
        <w:spacing w:after="120"/>
        <w:ind w:left="993"/>
        <w:jc w:val="both"/>
        <w:rPr>
          <w:rFonts w:ascii="Calibri" w:eastAsia="Calibri" w:hAnsi="Calibri" w:cs="Calibri"/>
          <w:color w:val="000000"/>
          <w:kern w:val="3"/>
          <w:u w:color="000000"/>
          <w:bdr w:val="nil"/>
          <w:lang w:eastAsia="pl-PL"/>
        </w:rPr>
      </w:pPr>
      <w:r>
        <w:rPr>
          <w:rFonts w:ascii="Calibri" w:eastAsia="Corbel" w:hAnsi="Calibri" w:cs="Corbel"/>
          <w:color w:val="000000"/>
          <w:kern w:val="3"/>
          <w:u w:color="000000"/>
          <w:bdr w:val="nil"/>
          <w:lang w:eastAsia="pl-PL"/>
        </w:rPr>
        <w:t xml:space="preserve">- </w:t>
      </w:r>
      <w:r w:rsidR="009D17CD" w:rsidRPr="004422EB">
        <w:rPr>
          <w:rFonts w:ascii="Calibri" w:eastAsia="Corbel" w:hAnsi="Calibri" w:cs="Corbel"/>
          <w:color w:val="000000"/>
          <w:kern w:val="3"/>
          <w:u w:color="000000"/>
          <w:bdr w:val="nil"/>
          <w:lang w:eastAsia="pl-PL"/>
        </w:rPr>
        <w:t>którego nie mogli przewidzieć przed zawarciem umowy w sprawie zamówienia,</w:t>
      </w:r>
    </w:p>
    <w:p w14:paraId="6914D3A0" w14:textId="75D225CD" w:rsidR="009D17CD" w:rsidRPr="004422EB" w:rsidRDefault="00F11EB2" w:rsidP="00F11EB2">
      <w:pPr>
        <w:pBdr>
          <w:top w:val="nil"/>
          <w:left w:val="nil"/>
          <w:bottom w:val="nil"/>
          <w:right w:val="nil"/>
          <w:between w:val="nil"/>
          <w:bar w:val="nil"/>
        </w:pBdr>
        <w:suppressAutoHyphens/>
        <w:spacing w:after="120"/>
        <w:ind w:left="993"/>
        <w:jc w:val="both"/>
        <w:rPr>
          <w:rFonts w:ascii="Calibri" w:eastAsia="Calibri" w:hAnsi="Calibri" w:cs="Calibri"/>
          <w:color w:val="000000"/>
          <w:kern w:val="3"/>
          <w:u w:color="000000"/>
          <w:bdr w:val="nil"/>
          <w:lang w:eastAsia="pl-PL"/>
        </w:rPr>
      </w:pPr>
      <w:r>
        <w:rPr>
          <w:rFonts w:ascii="Calibri" w:eastAsia="Corbel" w:hAnsi="Calibri" w:cs="Corbel"/>
          <w:color w:val="000000"/>
          <w:kern w:val="3"/>
          <w:u w:color="000000"/>
          <w:bdr w:val="nil"/>
          <w:lang w:eastAsia="pl-PL"/>
        </w:rPr>
        <w:t xml:space="preserve">- </w:t>
      </w:r>
      <w:r w:rsidR="009D17CD" w:rsidRPr="004422EB">
        <w:rPr>
          <w:rFonts w:ascii="Calibri" w:eastAsia="Corbel" w:hAnsi="Calibri" w:cs="Corbel"/>
          <w:color w:val="000000"/>
          <w:kern w:val="3"/>
          <w:u w:color="000000"/>
          <w:bdr w:val="nil"/>
          <w:lang w:eastAsia="pl-PL"/>
        </w:rPr>
        <w:t>którego nie można uniknąć, ani któremu nie mogli zapobiec przy zachowaniu należytej staranności,</w:t>
      </w:r>
    </w:p>
    <w:p w14:paraId="5F079A22" w14:textId="39B702E0" w:rsidR="009D17CD" w:rsidRPr="004422EB" w:rsidRDefault="00F11EB2" w:rsidP="00F11EB2">
      <w:pPr>
        <w:pBdr>
          <w:top w:val="nil"/>
          <w:left w:val="nil"/>
          <w:bottom w:val="nil"/>
          <w:right w:val="nil"/>
          <w:between w:val="nil"/>
          <w:bar w:val="nil"/>
        </w:pBdr>
        <w:suppressAutoHyphens/>
        <w:spacing w:after="120"/>
        <w:ind w:left="993"/>
        <w:jc w:val="both"/>
        <w:rPr>
          <w:rFonts w:ascii="Calibri" w:eastAsia="Calibri" w:hAnsi="Calibri" w:cs="Calibri"/>
          <w:color w:val="000000"/>
          <w:kern w:val="3"/>
          <w:u w:color="000000"/>
          <w:bdr w:val="nil"/>
          <w:lang w:eastAsia="pl-PL"/>
        </w:rPr>
      </w:pPr>
      <w:r>
        <w:rPr>
          <w:rFonts w:ascii="Calibri" w:eastAsia="Corbel" w:hAnsi="Calibri" w:cs="Corbel"/>
          <w:color w:val="000000"/>
          <w:kern w:val="3"/>
          <w:u w:color="000000"/>
          <w:bdr w:val="nil"/>
          <w:lang w:eastAsia="pl-PL"/>
        </w:rPr>
        <w:t xml:space="preserve">- </w:t>
      </w:r>
      <w:r w:rsidR="009D17CD" w:rsidRPr="004422EB">
        <w:rPr>
          <w:rFonts w:ascii="Calibri" w:eastAsia="Corbel" w:hAnsi="Calibri" w:cs="Corbel"/>
          <w:color w:val="000000"/>
          <w:kern w:val="3"/>
          <w:u w:color="000000"/>
          <w:bdr w:val="nil"/>
          <w:lang w:eastAsia="pl-PL"/>
        </w:rPr>
        <w:t>której nie można przypisać Zamawiającemu lub wykonawcy.</w:t>
      </w:r>
    </w:p>
    <w:p w14:paraId="41B0F19A" w14:textId="02B2497B" w:rsidR="009D17CD" w:rsidRPr="004422EB" w:rsidRDefault="009D17CD" w:rsidP="009D17CD">
      <w:pPr>
        <w:pBdr>
          <w:top w:val="nil"/>
          <w:left w:val="nil"/>
          <w:bottom w:val="nil"/>
          <w:right w:val="nil"/>
          <w:between w:val="nil"/>
          <w:bar w:val="nil"/>
        </w:pBdr>
        <w:suppressAutoHyphens/>
        <w:spacing w:after="120"/>
        <w:ind w:left="993"/>
        <w:jc w:val="both"/>
        <w:rPr>
          <w:rFonts w:ascii="Calibri" w:eastAsia="Corbel" w:hAnsi="Calibri" w:cs="Corbel"/>
          <w:color w:val="000000"/>
          <w:kern w:val="3"/>
          <w:u w:color="000000"/>
          <w:bdr w:val="nil"/>
          <w:lang w:eastAsia="pl-PL"/>
        </w:rPr>
      </w:pPr>
      <w:r w:rsidRPr="004422EB">
        <w:rPr>
          <w:rFonts w:ascii="Calibri" w:eastAsia="Corbel" w:hAnsi="Calibri" w:cs="Corbel"/>
          <w:color w:val="000000"/>
          <w:kern w:val="3"/>
          <w:u w:color="000000"/>
          <w:bdr w:val="nil"/>
          <w:lang w:eastAsia="pl-PL"/>
        </w:rPr>
        <w:t xml:space="preserve">Za siłę wyższą uważać się będzie w szczególności: powódź, pożar i inne klęski żywiołowe, zamieszki, strajki, ataki terrorystyczne, działania wojenne, nagłe załamania warunków atmosferycznych, </w:t>
      </w:r>
      <w:r w:rsidR="00114DB9">
        <w:rPr>
          <w:rFonts w:ascii="Calibri" w:eastAsia="Corbel" w:hAnsi="Calibri" w:cs="Corbel"/>
          <w:color w:val="000000"/>
          <w:kern w:val="3"/>
          <w:u w:color="000000"/>
          <w:bdr w:val="nil"/>
          <w:lang w:eastAsia="pl-PL"/>
        </w:rPr>
        <w:t xml:space="preserve">epidemie, </w:t>
      </w:r>
      <w:r w:rsidRPr="004422EB">
        <w:rPr>
          <w:rFonts w:ascii="Calibri" w:eastAsia="Corbel" w:hAnsi="Calibri" w:cs="Corbel"/>
          <w:color w:val="000000"/>
          <w:kern w:val="3"/>
          <w:u w:color="000000"/>
          <w:bdr w:val="nil"/>
          <w:lang w:eastAsia="pl-PL"/>
        </w:rPr>
        <w:t xml:space="preserve">nagłe przerwy w dostawie energii elektrycznej, promieniowanie lub skażenia. </w:t>
      </w:r>
    </w:p>
    <w:p w14:paraId="3C318653" w14:textId="77777777" w:rsidR="009D17CD" w:rsidRPr="004422EB" w:rsidRDefault="009D17CD" w:rsidP="009D17CD">
      <w:pPr>
        <w:pBdr>
          <w:top w:val="nil"/>
          <w:left w:val="nil"/>
          <w:bottom w:val="nil"/>
          <w:right w:val="nil"/>
          <w:between w:val="nil"/>
          <w:bar w:val="nil"/>
        </w:pBdr>
        <w:suppressAutoHyphens/>
        <w:spacing w:after="120"/>
        <w:ind w:left="993"/>
        <w:jc w:val="both"/>
        <w:rPr>
          <w:rFonts w:ascii="Calibri" w:eastAsia="Calibri" w:hAnsi="Calibri" w:cs="Calibri"/>
          <w:color w:val="000000"/>
          <w:kern w:val="3"/>
          <w:u w:color="000000"/>
          <w:bdr w:val="nil"/>
          <w:lang w:eastAsia="pl-PL"/>
        </w:rPr>
      </w:pPr>
      <w:r w:rsidRPr="004422EB">
        <w:rPr>
          <w:rFonts w:ascii="Calibri" w:eastAsia="Corbel" w:hAnsi="Calibri" w:cs="Corbel"/>
          <w:color w:val="000000"/>
          <w:kern w:val="3"/>
          <w:u w:color="000000"/>
          <w:bdr w:val="nil"/>
          <w:lang w:eastAsia="pl-PL"/>
        </w:rPr>
        <w:t>W takim przypadku termin wykonania przedmiotu zamówienia może zostać przesunięty o czas trwania siły wyższej oraz czas trwania jej następstw. W takim przypadku Zamawiający i wykonawca mogą również określić zmieniony sposób osiągnięcia rezultatu będącego przedmiotem danego świadczenia wchodzącego w zakres przedmiotu zamówienia celem dostosowania go do skutków wystąpienia siły wyższej.</w:t>
      </w:r>
    </w:p>
    <w:p w14:paraId="1E21C31C" w14:textId="2FA1C113" w:rsidR="009B0A68" w:rsidRDefault="009D17CD" w:rsidP="00812503">
      <w:pPr>
        <w:pBdr>
          <w:top w:val="nil"/>
          <w:left w:val="nil"/>
          <w:bottom w:val="nil"/>
          <w:right w:val="nil"/>
          <w:between w:val="nil"/>
          <w:bar w:val="nil"/>
        </w:pBdr>
        <w:suppressAutoHyphens/>
        <w:spacing w:after="120"/>
        <w:jc w:val="both"/>
        <w:rPr>
          <w:kern w:val="3"/>
        </w:rPr>
      </w:pPr>
      <w:r w:rsidRPr="00812503">
        <w:rPr>
          <w:rFonts w:ascii="Calibri" w:eastAsia="Corbel" w:hAnsi="Calibri" w:cs="Corbel"/>
          <w:color w:val="000000"/>
          <w:kern w:val="3"/>
          <w:u w:color="000000"/>
          <w:bdr w:val="nil"/>
          <w:lang w:eastAsia="pl-PL"/>
        </w:rPr>
        <w:t xml:space="preserve">Zamawiający </w:t>
      </w:r>
      <w:r w:rsidRPr="00812503">
        <w:rPr>
          <w:kern w:val="3"/>
        </w:rPr>
        <w:t xml:space="preserve">przewiduje również możliwość wprowadzenia zmian treści umowy w sprawie zamówienia w przypadkach dozwolonych zgodnie z </w:t>
      </w:r>
      <w:r w:rsidR="0005625D" w:rsidRPr="0005625D">
        <w:rPr>
          <w:kern w:val="3"/>
        </w:rPr>
        <w:t>Wytycznymi dotyczącymi kwalifikowalności wydatków na lata 2021-2027</w:t>
      </w:r>
      <w:r w:rsidRPr="00812503">
        <w:rPr>
          <w:kern w:val="3"/>
        </w:rPr>
        <w:t xml:space="preserve">. </w:t>
      </w:r>
    </w:p>
    <w:p w14:paraId="52FAEEC6" w14:textId="7A76EBB7" w:rsidR="00A53F7D" w:rsidRDefault="009D17CD" w:rsidP="00812503">
      <w:pPr>
        <w:pBdr>
          <w:top w:val="nil"/>
          <w:left w:val="nil"/>
          <w:bottom w:val="nil"/>
          <w:right w:val="nil"/>
          <w:between w:val="nil"/>
          <w:bar w:val="nil"/>
        </w:pBdr>
        <w:suppressAutoHyphens/>
        <w:spacing w:after="120"/>
        <w:jc w:val="both"/>
        <w:rPr>
          <w:rFonts w:ascii="Calibri" w:eastAsia="Corbel" w:hAnsi="Calibri" w:cs="Corbel"/>
          <w:bdr w:val="nil"/>
        </w:rPr>
      </w:pPr>
      <w:r w:rsidRPr="00812503">
        <w:rPr>
          <w:rFonts w:ascii="Calibri" w:eastAsia="Corbel" w:hAnsi="Calibri" w:cs="Corbel"/>
          <w:bdr w:val="nil"/>
        </w:rPr>
        <w:t xml:space="preserve">Wskazane </w:t>
      </w:r>
      <w:r w:rsidR="009B0A68">
        <w:rPr>
          <w:rFonts w:ascii="Calibri" w:eastAsia="Corbel" w:hAnsi="Calibri" w:cs="Corbel"/>
          <w:bdr w:val="nil"/>
        </w:rPr>
        <w:t>powyżej</w:t>
      </w:r>
      <w:r w:rsidRPr="00812503">
        <w:rPr>
          <w:rFonts w:ascii="Calibri" w:eastAsia="Corbel" w:hAnsi="Calibri" w:cs="Corbel"/>
          <w:bdr w:val="nil"/>
        </w:rPr>
        <w:t xml:space="preserve"> zmiany będą dokonywane na wniosek Zamawiającego lub wykonawcy, za zgodą obu stron, w formie aneksu do umowy w sprawie zamówienia sporządzonego na piśmie pod rygorem nieważności</w:t>
      </w:r>
      <w:r w:rsidR="00F11EB2" w:rsidRPr="00812503">
        <w:rPr>
          <w:rFonts w:ascii="Calibri" w:eastAsia="Corbel" w:hAnsi="Calibri" w:cs="Corbel"/>
          <w:bdr w:val="nil"/>
        </w:rPr>
        <w:t>.</w:t>
      </w:r>
    </w:p>
    <w:p w14:paraId="3F3DB5E1" w14:textId="3D774FE1" w:rsidR="00AF3EEB" w:rsidRDefault="00AF3EEB" w:rsidP="00812503">
      <w:pPr>
        <w:pBdr>
          <w:top w:val="nil"/>
          <w:left w:val="nil"/>
          <w:bottom w:val="nil"/>
          <w:right w:val="nil"/>
          <w:between w:val="nil"/>
          <w:bar w:val="nil"/>
        </w:pBdr>
        <w:suppressAutoHyphens/>
        <w:spacing w:after="120"/>
        <w:jc w:val="both"/>
        <w:rPr>
          <w:rFonts w:ascii="Calibri" w:eastAsia="Corbel" w:hAnsi="Calibri" w:cs="Corbel"/>
          <w:bdr w:val="nil"/>
        </w:rPr>
      </w:pPr>
    </w:p>
    <w:p w14:paraId="25404E18" w14:textId="60B48BE5" w:rsidR="00AF3EEB" w:rsidRPr="009D17CD" w:rsidRDefault="00AF3EEB" w:rsidP="00812503">
      <w:pPr>
        <w:pBdr>
          <w:top w:val="nil"/>
          <w:left w:val="nil"/>
          <w:bottom w:val="nil"/>
          <w:right w:val="nil"/>
          <w:between w:val="nil"/>
          <w:bar w:val="nil"/>
        </w:pBdr>
        <w:suppressAutoHyphens/>
        <w:spacing w:after="120"/>
        <w:jc w:val="both"/>
      </w:pPr>
      <w:hyperlink w:anchor="_top" w:history="1">
        <w:r w:rsidRPr="00AF3EEB">
          <w:rPr>
            <w:rStyle w:val="Hipercze"/>
          </w:rPr>
          <w:t>Góra dokumentu</w:t>
        </w:r>
      </w:hyperlink>
    </w:p>
    <w:sectPr w:rsidR="00AF3EEB" w:rsidRPr="009D17CD" w:rsidSect="00035503">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64025"/>
    <w:multiLevelType w:val="hybridMultilevel"/>
    <w:tmpl w:val="260E7042"/>
    <w:lvl w:ilvl="0" w:tplc="094C2920">
      <w:start w:val="1"/>
      <w:numFmt w:val="decimal"/>
      <w:lvlText w:val="%1."/>
      <w:lvlJc w:val="left"/>
      <w:pPr>
        <w:ind w:left="720" w:hanging="360"/>
      </w:pPr>
      <w:rPr>
        <w:rFonts w:eastAsia="Corbel" w:cs="Corbe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036728"/>
    <w:multiLevelType w:val="hybridMultilevel"/>
    <w:tmpl w:val="62908B1E"/>
    <w:lvl w:ilvl="0" w:tplc="36BE7BF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B6738"/>
    <w:multiLevelType w:val="multilevel"/>
    <w:tmpl w:val="A5DEA144"/>
    <w:lvl w:ilvl="0">
      <w:numFmt w:val="decimal"/>
      <w:lvlText w:val=""/>
      <w:lvlJc w:val="left"/>
    </w:lvl>
    <w:lvl w:ilvl="1">
      <w:start w:val="1"/>
      <w:numFmt w:val="lowerLetter"/>
      <w:lvlText w:val="%2."/>
      <w:lvlJc w:val="left"/>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81544"/>
    <w:multiLevelType w:val="hybridMultilevel"/>
    <w:tmpl w:val="2A6E11F4"/>
    <w:lvl w:ilvl="0" w:tplc="36BE7BF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9D3C67"/>
    <w:multiLevelType w:val="hybridMultilevel"/>
    <w:tmpl w:val="E7E4B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B227E"/>
    <w:multiLevelType w:val="hybridMultilevel"/>
    <w:tmpl w:val="B6A2DD38"/>
    <w:lvl w:ilvl="0" w:tplc="6CEE7314">
      <w:start w:val="1"/>
      <w:numFmt w:val="upperRoman"/>
      <w:lvlText w:val="%1."/>
      <w:lvlJc w:val="righ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10C16"/>
    <w:multiLevelType w:val="hybridMultilevel"/>
    <w:tmpl w:val="F6B04316"/>
    <w:lvl w:ilvl="0" w:tplc="1382C2C2">
      <w:start w:val="1"/>
      <w:numFmt w:val="upperRoman"/>
      <w:lvlText w:val="%1."/>
      <w:lvlJc w:val="righ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7712D9"/>
    <w:multiLevelType w:val="hybridMultilevel"/>
    <w:tmpl w:val="BB88CF24"/>
    <w:lvl w:ilvl="0" w:tplc="04150015">
      <w:start w:val="1"/>
      <w:numFmt w:val="upp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8623CC"/>
    <w:multiLevelType w:val="hybridMultilevel"/>
    <w:tmpl w:val="18AE3154"/>
    <w:lvl w:ilvl="0" w:tplc="04150013">
      <w:start w:val="1"/>
      <w:numFmt w:val="upperRoman"/>
      <w:lvlText w:val="%1."/>
      <w:lvlJc w:val="righ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BA5A8F"/>
    <w:multiLevelType w:val="hybridMultilevel"/>
    <w:tmpl w:val="C652E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B87B33"/>
    <w:multiLevelType w:val="hybridMultilevel"/>
    <w:tmpl w:val="4AC83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E7001"/>
    <w:multiLevelType w:val="hybridMultilevel"/>
    <w:tmpl w:val="B0B6B9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7423A6"/>
    <w:multiLevelType w:val="hybridMultilevel"/>
    <w:tmpl w:val="B46AE892"/>
    <w:lvl w:ilvl="0" w:tplc="D4D20BB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3B957674"/>
    <w:multiLevelType w:val="hybridMultilevel"/>
    <w:tmpl w:val="FDAC6F9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DDA1CF4"/>
    <w:multiLevelType w:val="hybridMultilevel"/>
    <w:tmpl w:val="B6A2DD38"/>
    <w:lvl w:ilvl="0" w:tplc="6CEE7314">
      <w:start w:val="1"/>
      <w:numFmt w:val="upperRoman"/>
      <w:lvlText w:val="%1."/>
      <w:lvlJc w:val="righ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F568B"/>
    <w:multiLevelType w:val="hybridMultilevel"/>
    <w:tmpl w:val="0122C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D95E55"/>
    <w:multiLevelType w:val="hybridMultilevel"/>
    <w:tmpl w:val="5A9693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340B22"/>
    <w:multiLevelType w:val="hybridMultilevel"/>
    <w:tmpl w:val="E404107A"/>
    <w:lvl w:ilvl="0" w:tplc="344EDC4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5FF04643"/>
    <w:multiLevelType w:val="hybridMultilevel"/>
    <w:tmpl w:val="A3265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AE4EAB"/>
    <w:multiLevelType w:val="hybridMultilevel"/>
    <w:tmpl w:val="57142046"/>
    <w:lvl w:ilvl="0" w:tplc="D4D20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B693021"/>
    <w:multiLevelType w:val="hybridMultilevel"/>
    <w:tmpl w:val="1D1AF272"/>
    <w:lvl w:ilvl="0" w:tplc="36BE7BF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165621"/>
    <w:multiLevelType w:val="hybridMultilevel"/>
    <w:tmpl w:val="529CC2A2"/>
    <w:lvl w:ilvl="0" w:tplc="36BE7BF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0287247">
    <w:abstractNumId w:val="10"/>
  </w:num>
  <w:num w:numId="2" w16cid:durableId="253364551">
    <w:abstractNumId w:val="21"/>
  </w:num>
  <w:num w:numId="3" w16cid:durableId="55665728">
    <w:abstractNumId w:val="20"/>
  </w:num>
  <w:num w:numId="4" w16cid:durableId="1215771476">
    <w:abstractNumId w:val="1"/>
  </w:num>
  <w:num w:numId="5" w16cid:durableId="1754085753">
    <w:abstractNumId w:val="3"/>
  </w:num>
  <w:num w:numId="6" w16cid:durableId="1693143033">
    <w:abstractNumId w:val="7"/>
  </w:num>
  <w:num w:numId="7" w16cid:durableId="889079183">
    <w:abstractNumId w:val="16"/>
  </w:num>
  <w:num w:numId="8" w16cid:durableId="1646277597">
    <w:abstractNumId w:val="6"/>
  </w:num>
  <w:num w:numId="9" w16cid:durableId="904729109">
    <w:abstractNumId w:val="8"/>
  </w:num>
  <w:num w:numId="10" w16cid:durableId="101458741">
    <w:abstractNumId w:val="14"/>
  </w:num>
  <w:num w:numId="11" w16cid:durableId="1874420544">
    <w:abstractNumId w:val="5"/>
  </w:num>
  <w:num w:numId="12" w16cid:durableId="800001869">
    <w:abstractNumId w:val="12"/>
  </w:num>
  <w:num w:numId="13" w16cid:durableId="204604515">
    <w:abstractNumId w:val="2"/>
  </w:num>
  <w:num w:numId="14" w16cid:durableId="1048454406">
    <w:abstractNumId w:val="0"/>
  </w:num>
  <w:num w:numId="15" w16cid:durableId="1766068843">
    <w:abstractNumId w:val="19"/>
  </w:num>
  <w:num w:numId="16" w16cid:durableId="1280574504">
    <w:abstractNumId w:val="17"/>
  </w:num>
  <w:num w:numId="17" w16cid:durableId="1013344297">
    <w:abstractNumId w:val="18"/>
  </w:num>
  <w:num w:numId="18" w16cid:durableId="70737344">
    <w:abstractNumId w:val="4"/>
  </w:num>
  <w:num w:numId="19" w16cid:durableId="613366790">
    <w:abstractNumId w:val="15"/>
  </w:num>
  <w:num w:numId="20" w16cid:durableId="1701583445">
    <w:abstractNumId w:val="11"/>
  </w:num>
  <w:num w:numId="21" w16cid:durableId="876550167">
    <w:abstractNumId w:val="9"/>
  </w:num>
  <w:num w:numId="22" w16cid:durableId="1466503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F7"/>
    <w:rsid w:val="000044D5"/>
    <w:rsid w:val="0003074F"/>
    <w:rsid w:val="00035503"/>
    <w:rsid w:val="00051B50"/>
    <w:rsid w:val="0005625D"/>
    <w:rsid w:val="00082A21"/>
    <w:rsid w:val="000B40C2"/>
    <w:rsid w:val="000C7C94"/>
    <w:rsid w:val="000D1186"/>
    <w:rsid w:val="000E0FA4"/>
    <w:rsid w:val="000F3F4B"/>
    <w:rsid w:val="001003F2"/>
    <w:rsid w:val="00111B96"/>
    <w:rsid w:val="001144EA"/>
    <w:rsid w:val="00114DB9"/>
    <w:rsid w:val="0015050C"/>
    <w:rsid w:val="00174C5B"/>
    <w:rsid w:val="001B7095"/>
    <w:rsid w:val="001E52CF"/>
    <w:rsid w:val="00206F5F"/>
    <w:rsid w:val="0025678A"/>
    <w:rsid w:val="002C033E"/>
    <w:rsid w:val="002C4872"/>
    <w:rsid w:val="002D2DE8"/>
    <w:rsid w:val="002D4A61"/>
    <w:rsid w:val="002D7B69"/>
    <w:rsid w:val="002F65B1"/>
    <w:rsid w:val="002F757B"/>
    <w:rsid w:val="0030087F"/>
    <w:rsid w:val="00314F40"/>
    <w:rsid w:val="00355E18"/>
    <w:rsid w:val="003662CC"/>
    <w:rsid w:val="003C1252"/>
    <w:rsid w:val="003C1E13"/>
    <w:rsid w:val="003D2E13"/>
    <w:rsid w:val="003D5445"/>
    <w:rsid w:val="003F1444"/>
    <w:rsid w:val="00401F68"/>
    <w:rsid w:val="00405105"/>
    <w:rsid w:val="00412B3F"/>
    <w:rsid w:val="00421601"/>
    <w:rsid w:val="004263F3"/>
    <w:rsid w:val="00432EC4"/>
    <w:rsid w:val="00445AF1"/>
    <w:rsid w:val="00451CCE"/>
    <w:rsid w:val="004F5424"/>
    <w:rsid w:val="00512EE4"/>
    <w:rsid w:val="005211B6"/>
    <w:rsid w:val="00536DDC"/>
    <w:rsid w:val="00573B00"/>
    <w:rsid w:val="005B11DB"/>
    <w:rsid w:val="005C4CF0"/>
    <w:rsid w:val="005D7B59"/>
    <w:rsid w:val="005E0022"/>
    <w:rsid w:val="005E1B57"/>
    <w:rsid w:val="005E2EE1"/>
    <w:rsid w:val="005E4D38"/>
    <w:rsid w:val="006026AB"/>
    <w:rsid w:val="006159AE"/>
    <w:rsid w:val="006324D7"/>
    <w:rsid w:val="00634674"/>
    <w:rsid w:val="00682B8E"/>
    <w:rsid w:val="00690F3C"/>
    <w:rsid w:val="006930BE"/>
    <w:rsid w:val="006B1CED"/>
    <w:rsid w:val="006E392C"/>
    <w:rsid w:val="00702936"/>
    <w:rsid w:val="0073438E"/>
    <w:rsid w:val="00791098"/>
    <w:rsid w:val="007A04B0"/>
    <w:rsid w:val="007A0625"/>
    <w:rsid w:val="007D518D"/>
    <w:rsid w:val="00812503"/>
    <w:rsid w:val="0084325E"/>
    <w:rsid w:val="00865701"/>
    <w:rsid w:val="00866366"/>
    <w:rsid w:val="00885180"/>
    <w:rsid w:val="00886106"/>
    <w:rsid w:val="00895A87"/>
    <w:rsid w:val="008B1966"/>
    <w:rsid w:val="008C5695"/>
    <w:rsid w:val="008E1F22"/>
    <w:rsid w:val="008E7F4D"/>
    <w:rsid w:val="008F2E4B"/>
    <w:rsid w:val="008F51C0"/>
    <w:rsid w:val="0092304D"/>
    <w:rsid w:val="009446CA"/>
    <w:rsid w:val="00965863"/>
    <w:rsid w:val="009B0A68"/>
    <w:rsid w:val="009C121E"/>
    <w:rsid w:val="009C387A"/>
    <w:rsid w:val="009D17CD"/>
    <w:rsid w:val="00A03801"/>
    <w:rsid w:val="00A1474C"/>
    <w:rsid w:val="00A22EB4"/>
    <w:rsid w:val="00A34E72"/>
    <w:rsid w:val="00A43CFD"/>
    <w:rsid w:val="00A53F7D"/>
    <w:rsid w:val="00A867F7"/>
    <w:rsid w:val="00AB656D"/>
    <w:rsid w:val="00AD5B73"/>
    <w:rsid w:val="00AE1205"/>
    <w:rsid w:val="00AF07CF"/>
    <w:rsid w:val="00AF3EEB"/>
    <w:rsid w:val="00AF661F"/>
    <w:rsid w:val="00B07167"/>
    <w:rsid w:val="00B114DF"/>
    <w:rsid w:val="00B311B9"/>
    <w:rsid w:val="00B313F8"/>
    <w:rsid w:val="00B5708F"/>
    <w:rsid w:val="00B90CE9"/>
    <w:rsid w:val="00BA6BEA"/>
    <w:rsid w:val="00C37B99"/>
    <w:rsid w:val="00C4244E"/>
    <w:rsid w:val="00C50E2E"/>
    <w:rsid w:val="00C5216F"/>
    <w:rsid w:val="00C55B47"/>
    <w:rsid w:val="00C7637A"/>
    <w:rsid w:val="00C83904"/>
    <w:rsid w:val="00CA55F2"/>
    <w:rsid w:val="00CB0AF3"/>
    <w:rsid w:val="00CC5635"/>
    <w:rsid w:val="00CF6887"/>
    <w:rsid w:val="00D70E6D"/>
    <w:rsid w:val="00D71802"/>
    <w:rsid w:val="00DB18A1"/>
    <w:rsid w:val="00DE334E"/>
    <w:rsid w:val="00E05B33"/>
    <w:rsid w:val="00E06151"/>
    <w:rsid w:val="00E06E6D"/>
    <w:rsid w:val="00E07C4A"/>
    <w:rsid w:val="00E21AA5"/>
    <w:rsid w:val="00E67BE5"/>
    <w:rsid w:val="00E722D7"/>
    <w:rsid w:val="00EA0B29"/>
    <w:rsid w:val="00EB7B68"/>
    <w:rsid w:val="00F00CBF"/>
    <w:rsid w:val="00F06AD5"/>
    <w:rsid w:val="00F11EB2"/>
    <w:rsid w:val="00F45835"/>
    <w:rsid w:val="00F51B89"/>
    <w:rsid w:val="00F55805"/>
    <w:rsid w:val="00F81316"/>
    <w:rsid w:val="00F94EBA"/>
    <w:rsid w:val="00F97E1C"/>
    <w:rsid w:val="00FB015E"/>
    <w:rsid w:val="00FC08C0"/>
    <w:rsid w:val="00FC6784"/>
    <w:rsid w:val="00FD4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730C"/>
  <w15:docId w15:val="{7EA36532-2B9B-4BAC-9B95-D5B6EDA4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A867F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BA6B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867F7"/>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A867F7"/>
    <w:pPr>
      <w:ind w:left="720"/>
      <w:contextualSpacing/>
    </w:pPr>
  </w:style>
  <w:style w:type="paragraph" w:styleId="Tekstdymka">
    <w:name w:val="Balloon Text"/>
    <w:basedOn w:val="Normalny"/>
    <w:link w:val="TekstdymkaZnak"/>
    <w:uiPriority w:val="99"/>
    <w:semiHidden/>
    <w:unhideWhenUsed/>
    <w:rsid w:val="00A867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67F7"/>
    <w:rPr>
      <w:rFonts w:ascii="Tahoma" w:hAnsi="Tahoma" w:cs="Tahoma"/>
      <w:sz w:val="16"/>
      <w:szCs w:val="16"/>
    </w:rPr>
  </w:style>
  <w:style w:type="character" w:styleId="Hipercze">
    <w:name w:val="Hyperlink"/>
    <w:basedOn w:val="Domylnaczcionkaakapitu"/>
    <w:uiPriority w:val="99"/>
    <w:unhideWhenUsed/>
    <w:rsid w:val="00421601"/>
    <w:rPr>
      <w:color w:val="0000FF" w:themeColor="hyperlink"/>
      <w:u w:val="single"/>
    </w:rPr>
  </w:style>
  <w:style w:type="character" w:styleId="Odwoaniedokomentarza">
    <w:name w:val="annotation reference"/>
    <w:basedOn w:val="Domylnaczcionkaakapitu"/>
    <w:uiPriority w:val="99"/>
    <w:semiHidden/>
    <w:unhideWhenUsed/>
    <w:rsid w:val="00EA0B29"/>
    <w:rPr>
      <w:sz w:val="16"/>
      <w:szCs w:val="16"/>
    </w:rPr>
  </w:style>
  <w:style w:type="paragraph" w:styleId="Tekstkomentarza">
    <w:name w:val="annotation text"/>
    <w:basedOn w:val="Normalny"/>
    <w:link w:val="TekstkomentarzaZnak"/>
    <w:uiPriority w:val="99"/>
    <w:unhideWhenUsed/>
    <w:rsid w:val="00EA0B29"/>
    <w:pPr>
      <w:spacing w:line="240" w:lineRule="auto"/>
    </w:pPr>
    <w:rPr>
      <w:sz w:val="20"/>
      <w:szCs w:val="20"/>
    </w:rPr>
  </w:style>
  <w:style w:type="character" w:customStyle="1" w:styleId="TekstkomentarzaZnak">
    <w:name w:val="Tekst komentarza Znak"/>
    <w:basedOn w:val="Domylnaczcionkaakapitu"/>
    <w:link w:val="Tekstkomentarza"/>
    <w:uiPriority w:val="99"/>
    <w:rsid w:val="00EA0B29"/>
    <w:rPr>
      <w:sz w:val="20"/>
      <w:szCs w:val="20"/>
    </w:rPr>
  </w:style>
  <w:style w:type="paragraph" w:styleId="Tematkomentarza">
    <w:name w:val="annotation subject"/>
    <w:basedOn w:val="Tekstkomentarza"/>
    <w:next w:val="Tekstkomentarza"/>
    <w:link w:val="TematkomentarzaZnak"/>
    <w:uiPriority w:val="99"/>
    <w:semiHidden/>
    <w:unhideWhenUsed/>
    <w:rsid w:val="00EA0B29"/>
    <w:rPr>
      <w:b/>
      <w:bCs/>
    </w:rPr>
  </w:style>
  <w:style w:type="character" w:customStyle="1" w:styleId="TematkomentarzaZnak">
    <w:name w:val="Temat komentarza Znak"/>
    <w:basedOn w:val="TekstkomentarzaZnak"/>
    <w:link w:val="Tematkomentarza"/>
    <w:uiPriority w:val="99"/>
    <w:semiHidden/>
    <w:rsid w:val="00EA0B29"/>
    <w:rPr>
      <w:b/>
      <w:bCs/>
      <w:sz w:val="20"/>
      <w:szCs w:val="20"/>
    </w:rPr>
  </w:style>
  <w:style w:type="character" w:customStyle="1" w:styleId="Nierozpoznanawzmianka1">
    <w:name w:val="Nierozpoznana wzmianka1"/>
    <w:basedOn w:val="Domylnaczcionkaakapitu"/>
    <w:uiPriority w:val="99"/>
    <w:semiHidden/>
    <w:unhideWhenUsed/>
    <w:rsid w:val="005D7B59"/>
    <w:rPr>
      <w:color w:val="808080"/>
      <w:shd w:val="clear" w:color="auto" w:fill="E6E6E6"/>
    </w:rPr>
  </w:style>
  <w:style w:type="paragraph" w:customStyle="1" w:styleId="Standard">
    <w:name w:val="Standard"/>
    <w:rsid w:val="00C37B99"/>
    <w:pPr>
      <w:suppressAutoHyphens/>
      <w:autoSpaceDN w:val="0"/>
      <w:spacing w:after="160" w:line="247" w:lineRule="auto"/>
      <w:textAlignment w:val="baseline"/>
    </w:pPr>
    <w:rPr>
      <w:rFonts w:ascii="Calibri" w:eastAsia="SimSun" w:hAnsi="Calibri" w:cs="F"/>
      <w:kern w:val="3"/>
      <w:lang w:eastAsia="pl-PL"/>
    </w:rPr>
  </w:style>
  <w:style w:type="character" w:customStyle="1" w:styleId="Tytulzamwienia">
    <w:name w:val="Tytul zamówienia"/>
    <w:basedOn w:val="Domylnaczcionkaakapitu"/>
    <w:uiPriority w:val="1"/>
    <w:qFormat/>
    <w:rsid w:val="00E05B33"/>
  </w:style>
  <w:style w:type="character" w:styleId="Nierozpoznanawzmianka">
    <w:name w:val="Unresolved Mention"/>
    <w:basedOn w:val="Domylnaczcionkaakapitu"/>
    <w:uiPriority w:val="99"/>
    <w:semiHidden/>
    <w:unhideWhenUsed/>
    <w:rsid w:val="00AF3EEB"/>
    <w:rPr>
      <w:color w:val="605E5C"/>
      <w:shd w:val="clear" w:color="auto" w:fill="E1DFDD"/>
    </w:rPr>
  </w:style>
  <w:style w:type="character" w:styleId="UyteHipercze">
    <w:name w:val="FollowedHyperlink"/>
    <w:basedOn w:val="Domylnaczcionkaakapitu"/>
    <w:uiPriority w:val="99"/>
    <w:semiHidden/>
    <w:unhideWhenUsed/>
    <w:rsid w:val="00AF3EEB"/>
    <w:rPr>
      <w:color w:val="800080" w:themeColor="followedHyperlink"/>
      <w:u w:val="single"/>
    </w:rPr>
  </w:style>
  <w:style w:type="character" w:customStyle="1" w:styleId="Nagwek3Znak">
    <w:name w:val="Nagłówek 3 Znak"/>
    <w:basedOn w:val="Domylnaczcionkaakapitu"/>
    <w:link w:val="Nagwek3"/>
    <w:uiPriority w:val="9"/>
    <w:semiHidden/>
    <w:rsid w:val="00BA6BE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61093">
      <w:bodyDiv w:val="1"/>
      <w:marLeft w:val="0"/>
      <w:marRight w:val="0"/>
      <w:marTop w:val="0"/>
      <w:marBottom w:val="0"/>
      <w:divBdr>
        <w:top w:val="none" w:sz="0" w:space="0" w:color="auto"/>
        <w:left w:val="none" w:sz="0" w:space="0" w:color="auto"/>
        <w:bottom w:val="none" w:sz="0" w:space="0" w:color="auto"/>
        <w:right w:val="none" w:sz="0" w:space="0" w:color="auto"/>
      </w:divBdr>
    </w:div>
    <w:div w:id="71048246">
      <w:bodyDiv w:val="1"/>
      <w:marLeft w:val="0"/>
      <w:marRight w:val="0"/>
      <w:marTop w:val="0"/>
      <w:marBottom w:val="0"/>
      <w:divBdr>
        <w:top w:val="none" w:sz="0" w:space="0" w:color="auto"/>
        <w:left w:val="none" w:sz="0" w:space="0" w:color="auto"/>
        <w:bottom w:val="none" w:sz="0" w:space="0" w:color="auto"/>
        <w:right w:val="none" w:sz="0" w:space="0" w:color="auto"/>
      </w:divBdr>
    </w:div>
    <w:div w:id="118257683">
      <w:bodyDiv w:val="1"/>
      <w:marLeft w:val="0"/>
      <w:marRight w:val="0"/>
      <w:marTop w:val="0"/>
      <w:marBottom w:val="0"/>
      <w:divBdr>
        <w:top w:val="none" w:sz="0" w:space="0" w:color="auto"/>
        <w:left w:val="none" w:sz="0" w:space="0" w:color="auto"/>
        <w:bottom w:val="none" w:sz="0" w:space="0" w:color="auto"/>
        <w:right w:val="none" w:sz="0" w:space="0" w:color="auto"/>
      </w:divBdr>
    </w:div>
    <w:div w:id="555820712">
      <w:bodyDiv w:val="1"/>
      <w:marLeft w:val="0"/>
      <w:marRight w:val="0"/>
      <w:marTop w:val="0"/>
      <w:marBottom w:val="0"/>
      <w:divBdr>
        <w:top w:val="none" w:sz="0" w:space="0" w:color="auto"/>
        <w:left w:val="none" w:sz="0" w:space="0" w:color="auto"/>
        <w:bottom w:val="none" w:sz="0" w:space="0" w:color="auto"/>
        <w:right w:val="none" w:sz="0" w:space="0" w:color="auto"/>
      </w:divBdr>
    </w:div>
    <w:div w:id="569658935">
      <w:bodyDiv w:val="1"/>
      <w:marLeft w:val="0"/>
      <w:marRight w:val="0"/>
      <w:marTop w:val="0"/>
      <w:marBottom w:val="0"/>
      <w:divBdr>
        <w:top w:val="none" w:sz="0" w:space="0" w:color="auto"/>
        <w:left w:val="none" w:sz="0" w:space="0" w:color="auto"/>
        <w:bottom w:val="none" w:sz="0" w:space="0" w:color="auto"/>
        <w:right w:val="none" w:sz="0" w:space="0" w:color="auto"/>
      </w:divBdr>
    </w:div>
    <w:div w:id="721102993">
      <w:bodyDiv w:val="1"/>
      <w:marLeft w:val="0"/>
      <w:marRight w:val="0"/>
      <w:marTop w:val="0"/>
      <w:marBottom w:val="0"/>
      <w:divBdr>
        <w:top w:val="none" w:sz="0" w:space="0" w:color="auto"/>
        <w:left w:val="none" w:sz="0" w:space="0" w:color="auto"/>
        <w:bottom w:val="none" w:sz="0" w:space="0" w:color="auto"/>
        <w:right w:val="none" w:sz="0" w:space="0" w:color="auto"/>
      </w:divBdr>
    </w:div>
    <w:div w:id="747770559">
      <w:bodyDiv w:val="1"/>
      <w:marLeft w:val="0"/>
      <w:marRight w:val="0"/>
      <w:marTop w:val="0"/>
      <w:marBottom w:val="0"/>
      <w:divBdr>
        <w:top w:val="none" w:sz="0" w:space="0" w:color="auto"/>
        <w:left w:val="none" w:sz="0" w:space="0" w:color="auto"/>
        <w:bottom w:val="none" w:sz="0" w:space="0" w:color="auto"/>
        <w:right w:val="none" w:sz="0" w:space="0" w:color="auto"/>
      </w:divBdr>
    </w:div>
    <w:div w:id="941956544">
      <w:bodyDiv w:val="1"/>
      <w:marLeft w:val="0"/>
      <w:marRight w:val="0"/>
      <w:marTop w:val="0"/>
      <w:marBottom w:val="0"/>
      <w:divBdr>
        <w:top w:val="none" w:sz="0" w:space="0" w:color="auto"/>
        <w:left w:val="none" w:sz="0" w:space="0" w:color="auto"/>
        <w:bottom w:val="none" w:sz="0" w:space="0" w:color="auto"/>
        <w:right w:val="none" w:sz="0" w:space="0" w:color="auto"/>
      </w:divBdr>
    </w:div>
    <w:div w:id="1253396977">
      <w:bodyDiv w:val="1"/>
      <w:marLeft w:val="0"/>
      <w:marRight w:val="0"/>
      <w:marTop w:val="0"/>
      <w:marBottom w:val="0"/>
      <w:divBdr>
        <w:top w:val="none" w:sz="0" w:space="0" w:color="auto"/>
        <w:left w:val="none" w:sz="0" w:space="0" w:color="auto"/>
        <w:bottom w:val="none" w:sz="0" w:space="0" w:color="auto"/>
        <w:right w:val="none" w:sz="0" w:space="0" w:color="auto"/>
      </w:divBdr>
    </w:div>
    <w:div w:id="1371225773">
      <w:bodyDiv w:val="1"/>
      <w:marLeft w:val="0"/>
      <w:marRight w:val="0"/>
      <w:marTop w:val="0"/>
      <w:marBottom w:val="0"/>
      <w:divBdr>
        <w:top w:val="none" w:sz="0" w:space="0" w:color="auto"/>
        <w:left w:val="none" w:sz="0" w:space="0" w:color="auto"/>
        <w:bottom w:val="none" w:sz="0" w:space="0" w:color="auto"/>
        <w:right w:val="none" w:sz="0" w:space="0" w:color="auto"/>
      </w:divBdr>
    </w:div>
    <w:div w:id="1491944868">
      <w:bodyDiv w:val="1"/>
      <w:marLeft w:val="0"/>
      <w:marRight w:val="0"/>
      <w:marTop w:val="0"/>
      <w:marBottom w:val="0"/>
      <w:divBdr>
        <w:top w:val="none" w:sz="0" w:space="0" w:color="auto"/>
        <w:left w:val="none" w:sz="0" w:space="0" w:color="auto"/>
        <w:bottom w:val="none" w:sz="0" w:space="0" w:color="auto"/>
        <w:right w:val="none" w:sz="0" w:space="0" w:color="auto"/>
      </w:divBdr>
    </w:div>
    <w:div w:id="1563440378">
      <w:bodyDiv w:val="1"/>
      <w:marLeft w:val="0"/>
      <w:marRight w:val="0"/>
      <w:marTop w:val="0"/>
      <w:marBottom w:val="0"/>
      <w:divBdr>
        <w:top w:val="none" w:sz="0" w:space="0" w:color="auto"/>
        <w:left w:val="none" w:sz="0" w:space="0" w:color="auto"/>
        <w:bottom w:val="none" w:sz="0" w:space="0" w:color="auto"/>
        <w:right w:val="none" w:sz="0" w:space="0" w:color="auto"/>
      </w:divBdr>
    </w:div>
    <w:div w:id="1690792163">
      <w:bodyDiv w:val="1"/>
      <w:marLeft w:val="0"/>
      <w:marRight w:val="0"/>
      <w:marTop w:val="0"/>
      <w:marBottom w:val="0"/>
      <w:divBdr>
        <w:top w:val="none" w:sz="0" w:space="0" w:color="auto"/>
        <w:left w:val="none" w:sz="0" w:space="0" w:color="auto"/>
        <w:bottom w:val="none" w:sz="0" w:space="0" w:color="auto"/>
        <w:right w:val="none" w:sz="0" w:space="0" w:color="auto"/>
      </w:divBdr>
    </w:div>
    <w:div w:id="1801805495">
      <w:bodyDiv w:val="1"/>
      <w:marLeft w:val="0"/>
      <w:marRight w:val="0"/>
      <w:marTop w:val="0"/>
      <w:marBottom w:val="0"/>
      <w:divBdr>
        <w:top w:val="none" w:sz="0" w:space="0" w:color="auto"/>
        <w:left w:val="none" w:sz="0" w:space="0" w:color="auto"/>
        <w:bottom w:val="none" w:sz="0" w:space="0" w:color="auto"/>
        <w:right w:val="none" w:sz="0" w:space="0" w:color="auto"/>
      </w:divBdr>
    </w:div>
    <w:div w:id="1884365356">
      <w:bodyDiv w:val="1"/>
      <w:marLeft w:val="0"/>
      <w:marRight w:val="0"/>
      <w:marTop w:val="0"/>
      <w:marBottom w:val="0"/>
      <w:divBdr>
        <w:top w:val="none" w:sz="0" w:space="0" w:color="auto"/>
        <w:left w:val="none" w:sz="0" w:space="0" w:color="auto"/>
        <w:bottom w:val="none" w:sz="0" w:space="0" w:color="auto"/>
        <w:right w:val="none" w:sz="0" w:space="0" w:color="auto"/>
      </w:divBdr>
    </w:div>
    <w:div w:id="1950353316">
      <w:bodyDiv w:val="1"/>
      <w:marLeft w:val="0"/>
      <w:marRight w:val="0"/>
      <w:marTop w:val="0"/>
      <w:marBottom w:val="0"/>
      <w:divBdr>
        <w:top w:val="none" w:sz="0" w:space="0" w:color="auto"/>
        <w:left w:val="none" w:sz="0" w:space="0" w:color="auto"/>
        <w:bottom w:val="none" w:sz="0" w:space="0" w:color="auto"/>
        <w:right w:val="none" w:sz="0" w:space="0" w:color="auto"/>
      </w:divBdr>
    </w:div>
    <w:div w:id="2099862239">
      <w:bodyDiv w:val="1"/>
      <w:marLeft w:val="0"/>
      <w:marRight w:val="0"/>
      <w:marTop w:val="0"/>
      <w:marBottom w:val="0"/>
      <w:divBdr>
        <w:top w:val="none" w:sz="0" w:space="0" w:color="auto"/>
        <w:left w:val="none" w:sz="0" w:space="0" w:color="auto"/>
        <w:bottom w:val="none" w:sz="0" w:space="0" w:color="auto"/>
        <w:right w:val="none" w:sz="0" w:space="0" w:color="auto"/>
      </w:divBdr>
    </w:div>
    <w:div w:id="2102602922">
      <w:bodyDiv w:val="1"/>
      <w:marLeft w:val="0"/>
      <w:marRight w:val="0"/>
      <w:marTop w:val="0"/>
      <w:marBottom w:val="0"/>
      <w:divBdr>
        <w:top w:val="none" w:sz="0" w:space="0" w:color="auto"/>
        <w:left w:val="none" w:sz="0" w:space="0" w:color="auto"/>
        <w:bottom w:val="none" w:sz="0" w:space="0" w:color="auto"/>
        <w:right w:val="none" w:sz="0" w:space="0" w:color="auto"/>
      </w:divBdr>
    </w:div>
    <w:div w:id="2106416779">
      <w:bodyDiv w:val="1"/>
      <w:marLeft w:val="0"/>
      <w:marRight w:val="0"/>
      <w:marTop w:val="0"/>
      <w:marBottom w:val="0"/>
      <w:divBdr>
        <w:top w:val="none" w:sz="0" w:space="0" w:color="auto"/>
        <w:left w:val="none" w:sz="0" w:space="0" w:color="auto"/>
        <w:bottom w:val="none" w:sz="0" w:space="0" w:color="auto"/>
        <w:right w:val="none" w:sz="0" w:space="0" w:color="auto"/>
      </w:divBdr>
    </w:div>
    <w:div w:id="21305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bazakonkurencyjnosci.funduszeeuropejskie.gov.pl/ogloszenia/20894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91a8ac-75ec-4ce9-bda3-6bc51168812b">
      <Terms xmlns="http://schemas.microsoft.com/office/infopath/2007/PartnerControls"/>
    </lcf76f155ced4ddcb4097134ff3c332f>
    <TaxCatchAll xmlns="04d919eb-baac-4458-bc4f-b036848e87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D5A2871D704D74C91C2FC95A67DE68F" ma:contentTypeVersion="17" ma:contentTypeDescription="Utwórz nowy dokument." ma:contentTypeScope="" ma:versionID="16a646dcdc97db7a21bcd85fe4d2cfa4">
  <xsd:schema xmlns:xsd="http://www.w3.org/2001/XMLSchema" xmlns:xs="http://www.w3.org/2001/XMLSchema" xmlns:p="http://schemas.microsoft.com/office/2006/metadata/properties" xmlns:ns2="c191a8ac-75ec-4ce9-bda3-6bc51168812b" xmlns:ns3="04d919eb-baac-4458-bc4f-b036848e8700" targetNamespace="http://schemas.microsoft.com/office/2006/metadata/properties" ma:root="true" ma:fieldsID="ed031be3a6335b1154cb568e8b8bcc71" ns2:_="" ns3:_="">
    <xsd:import namespace="c191a8ac-75ec-4ce9-bda3-6bc51168812b"/>
    <xsd:import namespace="04d919eb-baac-4458-bc4f-b036848e8700"/>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3:SharedWithUsers" minOccurs="0"/>
                <xsd:element ref="ns3:SharedWithDetails"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1a8ac-75ec-4ce9-bda3-6bc511688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c9fbee0b-5ce7-431d-9278-834181594a9a"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919eb-baac-4458-bc4f-b036848e87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2d4a591-56f1-412c-8366-14ddc58d943b}" ma:internalName="TaxCatchAll" ma:showField="CatchAllData" ma:web="04d919eb-baac-4458-bc4f-b036848e870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A2971-D7D4-4D4B-8B67-C891299C9DA5}">
  <ds:schemaRefs>
    <ds:schemaRef ds:uri="http://schemas.microsoft.com/sharepoint/v3/contenttype/forms"/>
  </ds:schemaRefs>
</ds:datastoreItem>
</file>

<file path=customXml/itemProps2.xml><?xml version="1.0" encoding="utf-8"?>
<ds:datastoreItem xmlns:ds="http://schemas.openxmlformats.org/officeDocument/2006/customXml" ds:itemID="{006FA94F-B7B5-4F77-AC23-E025733897D0}">
  <ds:schemaRefs>
    <ds:schemaRef ds:uri="http://schemas.microsoft.com/office/2006/metadata/properties"/>
    <ds:schemaRef ds:uri="http://schemas.microsoft.com/office/infopath/2007/PartnerControls"/>
    <ds:schemaRef ds:uri="c191a8ac-75ec-4ce9-bda3-6bc51168812b"/>
    <ds:schemaRef ds:uri="04d919eb-baac-4458-bc4f-b036848e8700"/>
  </ds:schemaRefs>
</ds:datastoreItem>
</file>

<file path=customXml/itemProps3.xml><?xml version="1.0" encoding="utf-8"?>
<ds:datastoreItem xmlns:ds="http://schemas.openxmlformats.org/officeDocument/2006/customXml" ds:itemID="{6384D47E-51B1-4B75-88FA-7DE724DDD1A0}">
  <ds:schemaRefs>
    <ds:schemaRef ds:uri="http://schemas.openxmlformats.org/officeDocument/2006/bibliography"/>
  </ds:schemaRefs>
</ds:datastoreItem>
</file>

<file path=customXml/itemProps4.xml><?xml version="1.0" encoding="utf-8"?>
<ds:datastoreItem xmlns:ds="http://schemas.openxmlformats.org/officeDocument/2006/customXml" ds:itemID="{F1B7EA87-FC7F-46E6-9900-C87B7B77A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1a8ac-75ec-4ce9-bda3-6bc51168812b"/>
    <ds:schemaRef ds:uri="04d919eb-baac-4458-bc4f-b036848e8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2545</Words>
  <Characters>15275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Holyszewski</dc:creator>
  <cp:lastModifiedBy>Grzegorz Hołyszewski</cp:lastModifiedBy>
  <cp:revision>52</cp:revision>
  <dcterms:created xsi:type="dcterms:W3CDTF">2023-03-21T10:10:00Z</dcterms:created>
  <dcterms:modified xsi:type="dcterms:W3CDTF">2024-12-16T14:13:00Z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0x0101002D5A2871D704D74C91C2FC95A67DE68F</vt:lpwstr>
  </property>
  <property fmtid="{D5CDD505-2E9C-101B-9397-08002B2CF9AE}" pid="3" name="MediaServiceImageTags">
    <vt:lpwstr/>
  </property>
</Properties>
</file>